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81C" w:rsidRPr="00324E38" w:rsidRDefault="000B581C" w:rsidP="000B581C">
      <w:pPr>
        <w:spacing w:line="240" w:lineRule="auto"/>
        <w:ind w:left="1622" w:right="1996"/>
        <w:jc w:val="both"/>
        <w:rPr>
          <w:rFonts w:ascii="Tahoma" w:hAnsi="Tahoma" w:cs="Tahoma"/>
          <w:i/>
          <w:sz w:val="20"/>
          <w:szCs w:val="20"/>
        </w:rPr>
      </w:pPr>
      <w:r w:rsidRPr="00324E38">
        <w:rPr>
          <w:rFonts w:ascii="Tahoma" w:hAnsi="Tahoma" w:cs="Tahoma"/>
          <w:b/>
          <w:sz w:val="20"/>
          <w:szCs w:val="20"/>
        </w:rPr>
        <w:t>Sumilla:</w:t>
      </w:r>
      <w:r w:rsidRPr="00324E38">
        <w:rPr>
          <w:rFonts w:ascii="Tahoma" w:hAnsi="Tahoma" w:cs="Tahoma"/>
          <w:sz w:val="20"/>
          <w:szCs w:val="20"/>
        </w:rPr>
        <w:t xml:space="preserve"> </w:t>
      </w:r>
      <w:r w:rsidRPr="00324E38">
        <w:rPr>
          <w:rFonts w:ascii="Tahoma" w:hAnsi="Tahoma" w:cs="Tahoma"/>
          <w:i/>
          <w:sz w:val="20"/>
          <w:szCs w:val="20"/>
        </w:rPr>
        <w:t>Es pasible de sanción el contratista que incumple injustificadamente el contrato, pese a haber sido requerido previamente para que ejecute las prestaciones a su cargo.</w:t>
      </w:r>
    </w:p>
    <w:p w:rsidR="000B581C" w:rsidRPr="00324E38" w:rsidRDefault="000B581C" w:rsidP="000B581C">
      <w:pPr>
        <w:pStyle w:val="Textoindependiente3"/>
        <w:spacing w:after="0"/>
        <w:ind w:right="179"/>
        <w:rPr>
          <w:rFonts w:ascii="Tahoma" w:hAnsi="Tahoma" w:cs="Tahoma"/>
          <w:b/>
          <w:sz w:val="20"/>
          <w:szCs w:val="20"/>
          <w:highlight w:val="yellow"/>
        </w:rPr>
      </w:pPr>
    </w:p>
    <w:p w:rsidR="000B581C" w:rsidRPr="00324E38" w:rsidRDefault="000B581C" w:rsidP="00014579">
      <w:pPr>
        <w:pStyle w:val="Textoindependiente3"/>
        <w:tabs>
          <w:tab w:val="left" w:pos="7938"/>
        </w:tabs>
        <w:spacing w:after="0"/>
        <w:ind w:left="4248" w:right="179" w:firstLine="708"/>
        <w:jc w:val="right"/>
        <w:rPr>
          <w:rFonts w:ascii="Tahoma" w:hAnsi="Tahoma" w:cs="Tahoma"/>
          <w:sz w:val="20"/>
          <w:szCs w:val="20"/>
        </w:rPr>
      </w:pPr>
      <w:r w:rsidRPr="00324E38">
        <w:rPr>
          <w:rFonts w:ascii="Tahoma" w:hAnsi="Tahoma" w:cs="Tahoma"/>
          <w:b/>
          <w:sz w:val="20"/>
          <w:szCs w:val="20"/>
        </w:rPr>
        <w:t>Lima</w:t>
      </w:r>
      <w:r w:rsidRPr="00014579">
        <w:rPr>
          <w:rFonts w:ascii="Tahoma" w:hAnsi="Tahoma" w:cs="Tahoma"/>
          <w:b/>
          <w:sz w:val="20"/>
          <w:szCs w:val="20"/>
        </w:rPr>
        <w:t xml:space="preserve">, </w:t>
      </w:r>
      <w:r w:rsidR="00014579" w:rsidRPr="00014579">
        <w:rPr>
          <w:rFonts w:ascii="Tahoma" w:hAnsi="Tahoma" w:cs="Tahoma"/>
          <w:b/>
          <w:sz w:val="20"/>
          <w:szCs w:val="20"/>
        </w:rPr>
        <w:t>22 de Junio de 2011</w:t>
      </w:r>
    </w:p>
    <w:p w:rsidR="000B581C" w:rsidRDefault="000B581C" w:rsidP="000B581C">
      <w:pPr>
        <w:pStyle w:val="Textoindependiente3"/>
        <w:spacing w:after="0"/>
        <w:rPr>
          <w:rFonts w:ascii="Tahoma" w:hAnsi="Tahoma" w:cs="Tahoma"/>
          <w:sz w:val="20"/>
          <w:szCs w:val="20"/>
        </w:rPr>
      </w:pPr>
    </w:p>
    <w:p w:rsidR="000B581C" w:rsidRPr="00324E38" w:rsidRDefault="000B581C" w:rsidP="000B581C">
      <w:pPr>
        <w:pStyle w:val="Textoindependiente3"/>
        <w:spacing w:after="0"/>
        <w:rPr>
          <w:rFonts w:ascii="Tahoma" w:hAnsi="Tahoma" w:cs="Tahoma"/>
          <w:sz w:val="20"/>
          <w:szCs w:val="20"/>
        </w:rPr>
      </w:pPr>
    </w:p>
    <w:p w:rsidR="000B581C" w:rsidRPr="00324E38" w:rsidRDefault="000B581C" w:rsidP="000B581C">
      <w:pPr>
        <w:spacing w:after="0" w:line="240" w:lineRule="auto"/>
        <w:jc w:val="both"/>
        <w:rPr>
          <w:rFonts w:ascii="Tahoma" w:hAnsi="Tahoma" w:cs="Tahoma"/>
          <w:sz w:val="20"/>
          <w:szCs w:val="20"/>
        </w:rPr>
      </w:pPr>
      <w:r w:rsidRPr="00324E38">
        <w:rPr>
          <w:rFonts w:ascii="Tahoma" w:hAnsi="Tahoma" w:cs="Tahoma"/>
          <w:b/>
          <w:sz w:val="20"/>
          <w:szCs w:val="20"/>
        </w:rPr>
        <w:t>VISTO</w:t>
      </w:r>
      <w:r>
        <w:rPr>
          <w:rFonts w:ascii="Tahoma" w:hAnsi="Tahoma" w:cs="Tahoma"/>
          <w:sz w:val="20"/>
          <w:szCs w:val="20"/>
        </w:rPr>
        <w:t xml:space="preserve"> en sesión de fecha 22</w:t>
      </w:r>
      <w:r w:rsidRPr="00324E38">
        <w:rPr>
          <w:rFonts w:ascii="Tahoma" w:hAnsi="Tahoma" w:cs="Tahoma"/>
          <w:sz w:val="20"/>
          <w:szCs w:val="20"/>
        </w:rPr>
        <w:t xml:space="preserve"> de </w:t>
      </w:r>
      <w:r>
        <w:rPr>
          <w:rFonts w:ascii="Tahoma" w:hAnsi="Tahoma" w:cs="Tahoma"/>
          <w:sz w:val="20"/>
          <w:szCs w:val="20"/>
        </w:rPr>
        <w:t>junio de 2011</w:t>
      </w:r>
      <w:r w:rsidRPr="00324E38">
        <w:rPr>
          <w:rFonts w:ascii="Tahoma" w:hAnsi="Tahoma" w:cs="Tahoma"/>
          <w:sz w:val="20"/>
          <w:szCs w:val="20"/>
        </w:rPr>
        <w:t xml:space="preserve"> de la </w:t>
      </w:r>
      <w:r>
        <w:rPr>
          <w:rFonts w:ascii="Tahoma" w:hAnsi="Tahoma" w:cs="Tahoma"/>
          <w:sz w:val="20"/>
          <w:szCs w:val="20"/>
        </w:rPr>
        <w:t>Cuarta</w:t>
      </w:r>
      <w:r w:rsidRPr="00324E38">
        <w:rPr>
          <w:rFonts w:ascii="Tahoma" w:hAnsi="Tahoma" w:cs="Tahoma"/>
          <w:sz w:val="20"/>
          <w:szCs w:val="20"/>
        </w:rPr>
        <w:t xml:space="preserve"> Sala del Tribunal de Contrataciones</w:t>
      </w:r>
      <w:r>
        <w:rPr>
          <w:rFonts w:ascii="Tahoma" w:hAnsi="Tahoma" w:cs="Tahoma"/>
          <w:sz w:val="20"/>
          <w:szCs w:val="20"/>
        </w:rPr>
        <w:t xml:space="preserve"> del Estado el Expediente № 130/2011</w:t>
      </w:r>
      <w:r w:rsidRPr="00324E38">
        <w:rPr>
          <w:rFonts w:ascii="Tahoma" w:hAnsi="Tahoma" w:cs="Tahoma"/>
          <w:sz w:val="20"/>
          <w:szCs w:val="20"/>
        </w:rPr>
        <w:t xml:space="preserve">.TC, sobre el procedimiento administrativo sancionador iniciado contra </w:t>
      </w:r>
      <w:r>
        <w:rPr>
          <w:rFonts w:ascii="Tahoma" w:hAnsi="Tahoma" w:cs="Tahoma"/>
          <w:sz w:val="20"/>
          <w:szCs w:val="20"/>
        </w:rPr>
        <w:t>el señor LUIS GRIMALDO PÉREZ MEDINA</w:t>
      </w:r>
      <w:r w:rsidRPr="00324E38">
        <w:rPr>
          <w:rFonts w:ascii="Tahoma" w:hAnsi="Tahoma" w:cs="Tahoma"/>
          <w:sz w:val="20"/>
          <w:szCs w:val="20"/>
        </w:rPr>
        <w:t xml:space="preserve">, </w:t>
      </w:r>
      <w:r w:rsidRPr="00324E38">
        <w:rPr>
          <w:rFonts w:ascii="Tahoma" w:hAnsi="Tahoma" w:cs="Tahoma"/>
          <w:sz w:val="20"/>
          <w:szCs w:val="20"/>
          <w:lang w:val="es-PE"/>
        </w:rPr>
        <w:t xml:space="preserve">por su supuesta responsabilidad en </w:t>
      </w:r>
      <w:r w:rsidR="002D5A85">
        <w:rPr>
          <w:rFonts w:ascii="Tahoma" w:hAnsi="Tahoma" w:cs="Tahoma"/>
          <w:sz w:val="20"/>
          <w:szCs w:val="20"/>
        </w:rPr>
        <w:t>la resolución del c</w:t>
      </w:r>
      <w:r w:rsidRPr="00324E38">
        <w:rPr>
          <w:rFonts w:ascii="Tahoma" w:hAnsi="Tahoma" w:cs="Tahoma"/>
          <w:sz w:val="20"/>
          <w:szCs w:val="20"/>
        </w:rPr>
        <w:t xml:space="preserve">ontrato </w:t>
      </w:r>
      <w:r w:rsidR="002D5A85">
        <w:rPr>
          <w:rFonts w:ascii="Tahoma" w:hAnsi="Tahoma" w:cs="Tahoma"/>
          <w:sz w:val="20"/>
          <w:szCs w:val="20"/>
        </w:rPr>
        <w:t xml:space="preserve">en la Orden de Compra </w:t>
      </w:r>
      <w:r w:rsidRPr="00324E38">
        <w:rPr>
          <w:rFonts w:ascii="Tahoma" w:hAnsi="Tahoma" w:cs="Tahoma"/>
          <w:sz w:val="20"/>
          <w:szCs w:val="20"/>
        </w:rPr>
        <w:t xml:space="preserve">Nº </w:t>
      </w:r>
      <w:r w:rsidR="002D5A85">
        <w:rPr>
          <w:rFonts w:ascii="Tahoma" w:hAnsi="Tahoma" w:cs="Tahoma"/>
          <w:sz w:val="20"/>
          <w:szCs w:val="20"/>
        </w:rPr>
        <w:t>2010000038</w:t>
      </w:r>
      <w:r w:rsidRPr="00324E38">
        <w:rPr>
          <w:rFonts w:ascii="Tahoma" w:hAnsi="Tahoma" w:cs="Tahoma"/>
          <w:sz w:val="20"/>
          <w:szCs w:val="20"/>
        </w:rPr>
        <w:t xml:space="preserve">, derivado de la </w:t>
      </w:r>
      <w:r>
        <w:rPr>
          <w:rFonts w:ascii="Tahoma" w:hAnsi="Tahoma" w:cs="Tahoma"/>
          <w:sz w:val="20"/>
          <w:szCs w:val="20"/>
        </w:rPr>
        <w:t xml:space="preserve">Adjudicación </w:t>
      </w:r>
      <w:r w:rsidR="002D5A85">
        <w:rPr>
          <w:rFonts w:ascii="Tahoma" w:hAnsi="Tahoma" w:cs="Tahoma"/>
          <w:sz w:val="20"/>
          <w:szCs w:val="20"/>
        </w:rPr>
        <w:t>de Menor Cuantía</w:t>
      </w:r>
      <w:r w:rsidRPr="00324E38">
        <w:rPr>
          <w:rFonts w:ascii="Tahoma" w:hAnsi="Tahoma" w:cs="Tahoma"/>
          <w:sz w:val="20"/>
          <w:szCs w:val="20"/>
        </w:rPr>
        <w:t xml:space="preserve"> Nº </w:t>
      </w:r>
      <w:r w:rsidR="002D5A85">
        <w:rPr>
          <w:rFonts w:ascii="Tahoma" w:hAnsi="Tahoma" w:cs="Tahoma"/>
          <w:sz w:val="20"/>
          <w:szCs w:val="20"/>
        </w:rPr>
        <w:t>0035-2010-SUNAT/2G3500 (Primera Convocatoria)</w:t>
      </w:r>
      <w:r w:rsidRPr="00324E38">
        <w:rPr>
          <w:rFonts w:ascii="Tahoma" w:hAnsi="Tahoma" w:cs="Tahoma"/>
          <w:sz w:val="20"/>
          <w:szCs w:val="20"/>
        </w:rPr>
        <w:t xml:space="preserve">, convocada por </w:t>
      </w:r>
      <w:r w:rsidR="002D5A85">
        <w:rPr>
          <w:rFonts w:ascii="Tahoma" w:hAnsi="Tahoma" w:cs="Tahoma"/>
          <w:sz w:val="20"/>
          <w:szCs w:val="20"/>
        </w:rPr>
        <w:t>la Superintendencia Nacional de Administración Tributaria - SUNAT</w:t>
      </w:r>
      <w:r w:rsidRPr="00324E38">
        <w:rPr>
          <w:rFonts w:ascii="Tahoma" w:hAnsi="Tahoma" w:cs="Tahoma"/>
          <w:sz w:val="20"/>
          <w:szCs w:val="20"/>
        </w:rPr>
        <w:t xml:space="preserve">; y atendiendo a los siguientes: </w:t>
      </w:r>
    </w:p>
    <w:p w:rsidR="000B581C" w:rsidRPr="00324E38" w:rsidRDefault="000B581C" w:rsidP="000B581C">
      <w:pPr>
        <w:spacing w:after="0" w:line="240" w:lineRule="auto"/>
        <w:jc w:val="both"/>
        <w:rPr>
          <w:rFonts w:ascii="Tahoma" w:hAnsi="Tahoma" w:cs="Tahoma"/>
          <w:b/>
          <w:sz w:val="20"/>
          <w:szCs w:val="20"/>
        </w:rPr>
      </w:pPr>
    </w:p>
    <w:p w:rsidR="000B581C" w:rsidRDefault="000B581C" w:rsidP="000B581C">
      <w:pPr>
        <w:pStyle w:val="Ttulo2"/>
        <w:jc w:val="both"/>
        <w:rPr>
          <w:rFonts w:cs="Tahoma"/>
          <w:sz w:val="20"/>
        </w:rPr>
      </w:pPr>
      <w:r w:rsidRPr="00324E38">
        <w:rPr>
          <w:rFonts w:cs="Tahoma"/>
          <w:sz w:val="20"/>
        </w:rPr>
        <w:t>ANTECEDENTES:</w:t>
      </w:r>
    </w:p>
    <w:p w:rsidR="000B581C" w:rsidRPr="00324E38" w:rsidRDefault="000B581C" w:rsidP="000B581C">
      <w:pPr>
        <w:spacing w:after="0" w:line="240" w:lineRule="auto"/>
        <w:rPr>
          <w:lang w:val="es-PE" w:eastAsia="es-PE"/>
        </w:rPr>
      </w:pPr>
    </w:p>
    <w:p w:rsidR="002D5A85" w:rsidRPr="002D5A85" w:rsidRDefault="002D5A85" w:rsidP="002D5A85">
      <w:pPr>
        <w:numPr>
          <w:ilvl w:val="0"/>
          <w:numId w:val="3"/>
        </w:numPr>
        <w:tabs>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t xml:space="preserve">El 07 de mayo de 2010, la SUPERINTENDENCIA NACIONAL DE ADMINISTRACIÓN TRIBUTARIA – SUNAT, en adelante la Entidad, convocó la Adjudicación de Menor Cuantía Nº 0035-2010-SUNAT/2G3500 (Primera Convocatoria), para la “Adquisición de Tapas y Contratapas para Expedientes de Procedimientos Contenciosos y de Fiscalización”, bajo la modalidad de Suma Alzada y con un valor referencial ascendente a la suma de S/. 20,000.00 (Veinte mil con 00/100 nuevos soles), incluido los impuestos de Ley.  </w:t>
      </w:r>
    </w:p>
    <w:p w:rsidR="002D5A85" w:rsidRPr="002D5A85" w:rsidRDefault="002D5A85" w:rsidP="002D5A85">
      <w:pPr>
        <w:tabs>
          <w:tab w:val="num" w:pos="600"/>
          <w:tab w:val="num" w:pos="4320"/>
        </w:tabs>
        <w:spacing w:after="0" w:line="240" w:lineRule="auto"/>
        <w:ind w:left="600"/>
        <w:jc w:val="both"/>
        <w:rPr>
          <w:rFonts w:ascii="Tahoma" w:hAnsi="Tahoma" w:cs="Tahoma"/>
          <w:sz w:val="20"/>
          <w:szCs w:val="20"/>
        </w:rPr>
      </w:pPr>
    </w:p>
    <w:p w:rsidR="002D5A85" w:rsidRPr="002D5A85" w:rsidRDefault="002D5A85" w:rsidP="002D5A85">
      <w:pPr>
        <w:numPr>
          <w:ilvl w:val="0"/>
          <w:numId w:val="3"/>
        </w:numPr>
        <w:tabs>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t>El 14 de mayo de 2010, el Comité Especial otorgó la Buena Pro a favor del señor LUIS GRIMALDO PÉREZ MEDINA, en adelante el Contratista, por su oferta económica equivalente a la suma de S/. 16,000.00 (Dieciséis mil con 00/100 nuevos soles), incluidos los impuestos de ley.</w:t>
      </w:r>
    </w:p>
    <w:p w:rsidR="002D5A85" w:rsidRPr="002D5A85" w:rsidRDefault="002D5A85" w:rsidP="002D5A85">
      <w:pPr>
        <w:pStyle w:val="Prrafodelista"/>
        <w:rPr>
          <w:rFonts w:ascii="Tahoma" w:hAnsi="Tahoma" w:cs="Tahoma"/>
          <w:sz w:val="20"/>
        </w:rPr>
      </w:pPr>
    </w:p>
    <w:p w:rsidR="002D5A85" w:rsidRPr="002D5A85" w:rsidRDefault="002D5A85" w:rsidP="002D5A85">
      <w:pPr>
        <w:numPr>
          <w:ilvl w:val="0"/>
          <w:numId w:val="3"/>
        </w:numPr>
        <w:tabs>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t xml:space="preserve">Con fecha 26 de mayo de 2010, la Entidad le entrega al Contratista la Orden de Compra Nº 2010000038, en el cual se precisaba que el plazo de entrega se cumplía a los 15 días calendario de recepción de dicha orden, es decir, el plazo otorgado vencía el 10 de junio de 2010. </w:t>
      </w:r>
    </w:p>
    <w:p w:rsidR="002D5A85" w:rsidRPr="002D5A85" w:rsidRDefault="002D5A85" w:rsidP="002D5A85">
      <w:pPr>
        <w:tabs>
          <w:tab w:val="num" w:pos="600"/>
        </w:tabs>
        <w:spacing w:after="0" w:line="240" w:lineRule="auto"/>
        <w:jc w:val="both"/>
        <w:rPr>
          <w:rFonts w:ascii="Tahoma" w:hAnsi="Tahoma" w:cs="Tahoma"/>
          <w:sz w:val="20"/>
          <w:szCs w:val="20"/>
        </w:rPr>
      </w:pPr>
    </w:p>
    <w:p w:rsidR="002D5A85" w:rsidRDefault="002D5A85" w:rsidP="002D5A85">
      <w:pPr>
        <w:numPr>
          <w:ilvl w:val="0"/>
          <w:numId w:val="3"/>
        </w:numPr>
        <w:tabs>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t xml:space="preserve">El 14 de junio de 2010, mediante Carta Nº 695-2010-SUNAT/2G3600, la Entidad le solicita al Contratista el cumplimiento inmediato de las obligaciones pactadas en el Orden de Compra Nº 2010000038, siendo esta recibida por el Contratista el día 21 del mismo mes y año. </w:t>
      </w:r>
    </w:p>
    <w:p w:rsidR="002D5A85" w:rsidRPr="002D5A85" w:rsidRDefault="002D5A85" w:rsidP="002D5A85">
      <w:pPr>
        <w:tabs>
          <w:tab w:val="num" w:pos="600"/>
        </w:tabs>
        <w:spacing w:after="0" w:line="240" w:lineRule="auto"/>
        <w:jc w:val="both"/>
        <w:rPr>
          <w:rFonts w:ascii="Tahoma" w:hAnsi="Tahoma" w:cs="Tahoma"/>
          <w:sz w:val="20"/>
          <w:szCs w:val="20"/>
        </w:rPr>
      </w:pPr>
    </w:p>
    <w:p w:rsidR="002D5A85" w:rsidRPr="002D5A85" w:rsidRDefault="002D5A85" w:rsidP="002D5A85">
      <w:pPr>
        <w:numPr>
          <w:ilvl w:val="0"/>
          <w:numId w:val="3"/>
        </w:numPr>
        <w:tabs>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t xml:space="preserve">Mediante Carta Notarial Nº 07-2010-SUNAT/2G3600, de fecha 18 de junio de 2010243-2011-MTPE/4/11, se le requiere al Contratista LUIS GRIMALDO PÉREZ MEDINA, que cumpla con las obligaciones contractuales pactadas en la Orden de Compra Nº 2010000038, esto sin perjuicio de las penalidades que correspondan, sin embargo, el 22 de junio de 2010 la notaría devuelve la carta al no haberse entregado por cuanto no se ubicó al destinatario o persona alguna que reciba el </w:t>
      </w:r>
      <w:r w:rsidRPr="002D5A85">
        <w:rPr>
          <w:rFonts w:ascii="Tahoma" w:hAnsi="Tahoma" w:cs="Tahoma"/>
          <w:sz w:val="20"/>
          <w:szCs w:val="20"/>
        </w:rPr>
        <w:lastRenderedPageBreak/>
        <w:t xml:space="preserve">documento en su representación, así como, no se pudo dejar bajo puerta del domicilio señalado por el contratista al existir varios departamentos. </w:t>
      </w:r>
    </w:p>
    <w:p w:rsidR="002D5A85" w:rsidRPr="002D5A85" w:rsidRDefault="002D5A85" w:rsidP="002D5A85">
      <w:pPr>
        <w:tabs>
          <w:tab w:val="num" w:pos="600"/>
        </w:tabs>
        <w:spacing w:after="0" w:line="240" w:lineRule="auto"/>
        <w:jc w:val="both"/>
        <w:rPr>
          <w:rFonts w:ascii="Tahoma" w:hAnsi="Tahoma" w:cs="Tahoma"/>
          <w:sz w:val="20"/>
          <w:szCs w:val="20"/>
        </w:rPr>
      </w:pPr>
    </w:p>
    <w:p w:rsidR="002D5A85" w:rsidRPr="002D5A85" w:rsidRDefault="002D5A85" w:rsidP="002D5A85">
      <w:pPr>
        <w:numPr>
          <w:ilvl w:val="0"/>
          <w:numId w:val="3"/>
        </w:numPr>
        <w:tabs>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t>Mediante Memorándum Nº 46-2010-SUNAT/2H0200, la Oficina de Administración de la Intendencia de Principales Contribuyentes Nacionales, manifiesta que el 22 de junio de 2010 el Contratista  entregó las muestras que confeccionó, la cuales no cumplían con los requerimientos solicitados, entregándose a dicho Contratista la Carta Nº 736-2010-SUNAT/2G3600, en la cual se le ponía en conocimiento del Contratista, las observaciones realizadas.</w:t>
      </w:r>
    </w:p>
    <w:p w:rsidR="002D5A85" w:rsidRPr="002D5A85" w:rsidRDefault="002D5A85" w:rsidP="002D5A85">
      <w:pPr>
        <w:pStyle w:val="Prrafodelista"/>
        <w:rPr>
          <w:rFonts w:ascii="Tahoma" w:hAnsi="Tahoma" w:cs="Tahoma"/>
          <w:sz w:val="20"/>
        </w:rPr>
      </w:pPr>
    </w:p>
    <w:p w:rsidR="002D5A85" w:rsidRPr="002D5A85" w:rsidRDefault="002D5A85" w:rsidP="002D5A85">
      <w:pPr>
        <w:numPr>
          <w:ilvl w:val="0"/>
          <w:numId w:val="3"/>
        </w:numPr>
        <w:tabs>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t xml:space="preserve">El 06 de julio de 2010, mediante carta el Contratista remite a la Entidad la muestra rectificada, la cual cumplía y subsanaba las observaciones realizadas por la misma, indicando además que el retraso se debía a que en ese momento no existía la cantidad de insumos solicitadas y ofertadas por su empresa, solicitando la confirmación y la aprobación de dichas muestras para que se complete y entregue la totalidad de los bienes a la Entidad. </w:t>
      </w:r>
    </w:p>
    <w:p w:rsidR="002D5A85" w:rsidRPr="002D5A85" w:rsidRDefault="002D5A85" w:rsidP="002D5A85">
      <w:pPr>
        <w:pStyle w:val="Prrafodelista"/>
        <w:rPr>
          <w:rFonts w:ascii="Tahoma" w:hAnsi="Tahoma" w:cs="Tahoma"/>
          <w:sz w:val="20"/>
        </w:rPr>
      </w:pPr>
    </w:p>
    <w:p w:rsidR="002D5A85" w:rsidRPr="002D5A85" w:rsidRDefault="002D5A85" w:rsidP="002D5A85">
      <w:pPr>
        <w:numPr>
          <w:ilvl w:val="0"/>
          <w:numId w:val="3"/>
        </w:numPr>
        <w:tabs>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t>Mediante Memorándum Nº 052-2010/2H0200 de fecha 09 de julio de 2010, la Oficina de Administración de la Intendencia de Principales Contribuyentes Nacionales, realizó observaciones a la muestra presentada, señalando además que el Contratista ha confeccionado la muestra sólo en color guinda, no presentando la muestra en color azul.</w:t>
      </w:r>
    </w:p>
    <w:p w:rsidR="002D5A85" w:rsidRPr="002D5A85" w:rsidRDefault="002D5A85" w:rsidP="002D5A85">
      <w:pPr>
        <w:pStyle w:val="Prrafodelista"/>
        <w:rPr>
          <w:rFonts w:ascii="Tahoma" w:hAnsi="Tahoma" w:cs="Tahoma"/>
          <w:sz w:val="20"/>
        </w:rPr>
      </w:pPr>
    </w:p>
    <w:p w:rsidR="002D5A85" w:rsidRPr="002D5A85" w:rsidRDefault="002D5A85" w:rsidP="002D5A85">
      <w:pPr>
        <w:numPr>
          <w:ilvl w:val="0"/>
          <w:numId w:val="3"/>
        </w:numPr>
        <w:tabs>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t>El 12 de julio de 2010, se cita al Contratista vía telefónica para entregarle la Carta Nº 784-2010-SUNAT/2G3600, para comunicarle las observaciones realizadas por el área usuaria, sin embargo, dicha carta le fue entregada el día 13 del mismo mes y año.</w:t>
      </w:r>
    </w:p>
    <w:p w:rsidR="002D5A85" w:rsidRPr="002D5A85" w:rsidRDefault="002D5A85" w:rsidP="002D5A85">
      <w:pPr>
        <w:pStyle w:val="Prrafodelista"/>
        <w:rPr>
          <w:rFonts w:ascii="Tahoma" w:hAnsi="Tahoma" w:cs="Tahoma"/>
          <w:sz w:val="20"/>
        </w:rPr>
      </w:pPr>
    </w:p>
    <w:p w:rsidR="002D5A85" w:rsidRPr="002D5A85" w:rsidRDefault="002D5A85" w:rsidP="002D5A85">
      <w:pPr>
        <w:numPr>
          <w:ilvl w:val="0"/>
          <w:numId w:val="3"/>
        </w:numPr>
        <w:tabs>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t xml:space="preserve">Con fecha 09 de agosto de 2010, mediante Carta Notarial Nº 018-2010-SUNAT/2G3600, se le pone en conocimiento al Contratista las observaciones realizadas por el área usuaria, solicitándole cumpla en un plazo de dos días calendarios la subsanación de las mismas. Sin embargo, dicha carta no puedo ser diligenciada de acuerdo a lo señalado por el Notario, debido a que la numeración corresponde a un edificio en donde la puerta es de rejas y se encontraba cerrada, indicando además que dicha dirección estaba incompleta por no indicar el piso y el departamento del Contratista. </w:t>
      </w:r>
    </w:p>
    <w:p w:rsidR="002D5A85" w:rsidRPr="002D5A85" w:rsidRDefault="002D5A85" w:rsidP="002D5A85">
      <w:pPr>
        <w:pStyle w:val="Prrafodelista"/>
        <w:rPr>
          <w:rFonts w:ascii="Tahoma" w:hAnsi="Tahoma" w:cs="Tahoma"/>
          <w:sz w:val="20"/>
        </w:rPr>
      </w:pPr>
    </w:p>
    <w:p w:rsidR="002D5A85" w:rsidRPr="002D5A85" w:rsidRDefault="002D5A85" w:rsidP="002D5A85">
      <w:pPr>
        <w:numPr>
          <w:ilvl w:val="0"/>
          <w:numId w:val="3"/>
        </w:numPr>
        <w:tabs>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t>Mediante Carta Notarial Nº 22-2010-SUNAT/2G3600 de fecha 25 de agosto de 2010, la Entidad le comunica al Contratista que habiéndose vencido el plazo otorgado en la Carta Notarial Nº 018-2010-SUNAT/2G3600 sin haberse subsanado las observaciones realizadas, se le vuelve a requerir el cumplimiento de las obligaciones contractuales otorgándole un plazo de dos días, bajo apercibimiento de resolver la Orden de Compra Nº 2010000038. Cabe señalar, que el 26 de agosto de 2010, el Notario deja constancia que dicha carta ha sido diligenciada bajo puerta del domicilio del destinatario, al no haberse encontrado al mismo o a alguna persona  que la recibiera en su nombre.</w:t>
      </w:r>
    </w:p>
    <w:p w:rsidR="002D5A85" w:rsidRPr="002D5A85" w:rsidRDefault="002D5A85" w:rsidP="002D5A85">
      <w:pPr>
        <w:pStyle w:val="Prrafodelista"/>
        <w:rPr>
          <w:rFonts w:ascii="Tahoma" w:hAnsi="Tahoma" w:cs="Tahoma"/>
          <w:sz w:val="20"/>
        </w:rPr>
      </w:pPr>
    </w:p>
    <w:p w:rsidR="002D5A85" w:rsidRPr="002D5A85" w:rsidRDefault="002D5A85" w:rsidP="002D5A85">
      <w:pPr>
        <w:numPr>
          <w:ilvl w:val="0"/>
          <w:numId w:val="3"/>
        </w:numPr>
        <w:tabs>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lastRenderedPageBreak/>
        <w:t xml:space="preserve">Con Carta Notarial Nº 29-2010-SUNAT/2G3600, la Entidad le comunica al Contratista la resolución de la Orden de Compra Nº 2010000038, debido al incumplimiento de sus obligaciones contractuales, siendo esta diligenciada el día 13 de septiembre de 2010, dejándose la misma bajo puerta en el domicilio consignado, al no haber encontrado al destinatario o a alguna persona que la reciba en su nombre, de acuerdo a lo señalado por el Notario en la parte posterior de la misma.  </w:t>
      </w:r>
    </w:p>
    <w:p w:rsidR="002D5A85" w:rsidRPr="002D5A85" w:rsidRDefault="002D5A85" w:rsidP="002D5A85">
      <w:pPr>
        <w:pStyle w:val="Prrafodelista"/>
        <w:rPr>
          <w:rFonts w:ascii="Tahoma" w:hAnsi="Tahoma" w:cs="Tahoma"/>
          <w:sz w:val="20"/>
        </w:rPr>
      </w:pPr>
    </w:p>
    <w:p w:rsidR="002D5A85" w:rsidRPr="002D5A85" w:rsidRDefault="002D5A85" w:rsidP="002D5A85">
      <w:pPr>
        <w:numPr>
          <w:ilvl w:val="0"/>
          <w:numId w:val="3"/>
        </w:numPr>
        <w:tabs>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t>Mediante escrito de fecha 01 de febrero de 2011 y subsanado el día 03 del mismo mes y año, la Entidad pone en conocimiento del Tribunal de Contrataciones del Estado, el incumplimiento contractual en el que habría incurrido el Contratista.</w:t>
      </w:r>
    </w:p>
    <w:p w:rsidR="002D5A85" w:rsidRPr="002D5A85" w:rsidRDefault="002D5A85" w:rsidP="002D5A85">
      <w:pPr>
        <w:pStyle w:val="Prrafodelista"/>
        <w:rPr>
          <w:rFonts w:ascii="Tahoma" w:hAnsi="Tahoma" w:cs="Tahoma"/>
          <w:sz w:val="20"/>
        </w:rPr>
      </w:pPr>
    </w:p>
    <w:p w:rsidR="002D5A85" w:rsidRPr="002D5A85" w:rsidRDefault="002D5A85" w:rsidP="002D5A85">
      <w:pPr>
        <w:numPr>
          <w:ilvl w:val="0"/>
          <w:numId w:val="3"/>
        </w:numPr>
        <w:tabs>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t>Mediante decreto de fecha 17 de febrero de 2011, se dispuso el inicio del procedimiento administrativo sancionador contra el señor LUIS GRIMALDO PÉREZ MEDINA, por supuesta responsabilidad en haber dado lugar a la resolución de la Orden de Compra Nº 2010000038,  infracción tipificada en el numeral 51.1 literal b) del artículo 51 de la Ley de Contrataciones del Estado, y le otorgó el plazo de diez (10) días hábiles para presentar sus descargos, bajo apercibimiento de resolver con la documentación obrante en autos.</w:t>
      </w:r>
    </w:p>
    <w:p w:rsidR="002D5A85" w:rsidRPr="002D5A85" w:rsidRDefault="002D5A85" w:rsidP="002D5A85">
      <w:pPr>
        <w:pStyle w:val="Prrafodelista"/>
        <w:rPr>
          <w:rFonts w:ascii="Tahoma" w:hAnsi="Tahoma" w:cs="Tahoma"/>
          <w:sz w:val="20"/>
        </w:rPr>
      </w:pPr>
    </w:p>
    <w:p w:rsidR="000B581C" w:rsidRDefault="002D5A85" w:rsidP="002D5A85">
      <w:pPr>
        <w:numPr>
          <w:ilvl w:val="0"/>
          <w:numId w:val="4"/>
        </w:numPr>
        <w:tabs>
          <w:tab w:val="clear" w:pos="4320"/>
          <w:tab w:val="num" w:pos="0"/>
          <w:tab w:val="num" w:pos="600"/>
        </w:tabs>
        <w:spacing w:after="0" w:line="240" w:lineRule="auto"/>
        <w:ind w:left="600" w:hanging="600"/>
        <w:jc w:val="both"/>
        <w:rPr>
          <w:rFonts w:ascii="Tahoma" w:hAnsi="Tahoma" w:cs="Tahoma"/>
          <w:sz w:val="20"/>
          <w:szCs w:val="20"/>
        </w:rPr>
      </w:pPr>
      <w:r w:rsidRPr="002D5A85">
        <w:rPr>
          <w:rFonts w:ascii="Tahoma" w:hAnsi="Tahoma" w:cs="Tahoma"/>
          <w:sz w:val="20"/>
          <w:szCs w:val="20"/>
        </w:rPr>
        <w:t>Mediante decreto de fecha 31 de mayo de 2011, no habiendo cumplido el Contratista con remitir sus descargos, se hizo efectivo el apercibimiento decretado de resolver con la documentación obrante en autos, y se remitió el expediente a la Cuarta Sala del Tribunal para su pronunciamiento.</w:t>
      </w:r>
    </w:p>
    <w:p w:rsidR="002D5A85" w:rsidRPr="002D5A85" w:rsidRDefault="002D5A85" w:rsidP="002D5A85">
      <w:pPr>
        <w:tabs>
          <w:tab w:val="num" w:pos="600"/>
        </w:tabs>
        <w:spacing w:after="0" w:line="240" w:lineRule="auto"/>
        <w:ind w:left="600"/>
        <w:jc w:val="both"/>
        <w:rPr>
          <w:rFonts w:ascii="Tahoma" w:hAnsi="Tahoma" w:cs="Tahoma"/>
          <w:sz w:val="20"/>
          <w:szCs w:val="20"/>
        </w:rPr>
      </w:pPr>
    </w:p>
    <w:p w:rsidR="000B581C" w:rsidRPr="00324E38" w:rsidRDefault="000B581C" w:rsidP="000B581C">
      <w:pPr>
        <w:spacing w:after="0" w:line="240" w:lineRule="auto"/>
        <w:rPr>
          <w:rFonts w:ascii="Tahoma" w:hAnsi="Tahoma" w:cs="Tahoma"/>
          <w:sz w:val="20"/>
          <w:szCs w:val="20"/>
          <w:lang w:eastAsia="es-PE"/>
        </w:rPr>
      </w:pPr>
    </w:p>
    <w:p w:rsidR="000B581C" w:rsidRPr="00324E38" w:rsidRDefault="000B581C" w:rsidP="000B581C">
      <w:pPr>
        <w:spacing w:after="0" w:line="240" w:lineRule="auto"/>
        <w:jc w:val="both"/>
        <w:rPr>
          <w:rFonts w:ascii="Tahoma" w:hAnsi="Tahoma" w:cs="Tahoma"/>
          <w:b/>
          <w:sz w:val="20"/>
          <w:szCs w:val="20"/>
        </w:rPr>
      </w:pPr>
      <w:r w:rsidRPr="00324E38">
        <w:rPr>
          <w:rFonts w:ascii="Tahoma" w:hAnsi="Tahoma" w:cs="Tahoma"/>
          <w:b/>
          <w:sz w:val="20"/>
          <w:szCs w:val="20"/>
        </w:rPr>
        <w:t>FUNDAMENTACIÓN:</w:t>
      </w:r>
    </w:p>
    <w:p w:rsidR="000B581C" w:rsidRPr="00324E38" w:rsidRDefault="000B581C" w:rsidP="000B581C">
      <w:pPr>
        <w:spacing w:after="0" w:line="240" w:lineRule="auto"/>
        <w:jc w:val="both"/>
        <w:rPr>
          <w:rFonts w:ascii="Tahoma" w:hAnsi="Tahoma" w:cs="Tahoma"/>
          <w:b/>
          <w:sz w:val="20"/>
          <w:szCs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Es materia del presente procedimiento administrativo sancionador la supuesta responsabilidad del Contratista LUIS GRIMALDO PÉREZ  MEDINA, por la resolución de la Orden de Compra Nº 2010000038 derivada de la Adjudicación de Menor Cuantía Nº 035-2010-SUNAT/2G3500</w:t>
      </w:r>
      <w:r w:rsidRPr="002D5A85">
        <w:rPr>
          <w:rFonts w:ascii="Tahoma" w:hAnsi="Tahoma" w:cs="Tahoma"/>
          <w:spacing w:val="-2"/>
          <w:sz w:val="20"/>
        </w:rPr>
        <w:t xml:space="preserve">, </w:t>
      </w:r>
      <w:r w:rsidRPr="002D5A85">
        <w:rPr>
          <w:rFonts w:ascii="Tahoma" w:hAnsi="Tahoma" w:cs="Tahoma"/>
          <w:sz w:val="20"/>
        </w:rPr>
        <w:t>por causal atribuible a su parte; infracción tipificada</w:t>
      </w:r>
      <w:r w:rsidRPr="002D5A85">
        <w:rPr>
          <w:rFonts w:ascii="Tahoma" w:hAnsi="Tahoma" w:cs="Tahoma"/>
          <w:sz w:val="20"/>
          <w:lang w:val="es-PE"/>
        </w:rPr>
        <w:t xml:space="preserve"> en el </w:t>
      </w:r>
      <w:r w:rsidRPr="002D5A85">
        <w:rPr>
          <w:rFonts w:ascii="Tahoma" w:hAnsi="Tahoma" w:cs="Tahoma"/>
          <w:sz w:val="20"/>
        </w:rPr>
        <w:t>numeral 51.1 literal b) del artículo 51 de la Ley de Contrataciones del Estado, aprobada por Decreto Legislativo № 1017, en lo sucesivo la Ley, norma vigente durante la ocurrencia de los hechos atribuidos.</w:t>
      </w:r>
    </w:p>
    <w:p w:rsidR="002D5A85" w:rsidRPr="002D5A85" w:rsidRDefault="002D5A85" w:rsidP="002D5A85">
      <w:pPr>
        <w:pStyle w:val="Prrafodelista"/>
        <w:widowControl/>
        <w:suppressAutoHyphens w:val="0"/>
        <w:ind w:left="567"/>
        <w:contextualSpacing/>
        <w:jc w:val="both"/>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 xml:space="preserve">Debemos iniciar el presente análisis indicando que, conforme a los criterios adoptados por el Tribunal en anteriores oportunidades, para que se configure el supuesto de hecho de la norma que contiene la infracción imputada, </w:t>
      </w:r>
      <w:r w:rsidRPr="002D5A85">
        <w:rPr>
          <w:rFonts w:ascii="Tahoma" w:hAnsi="Tahoma" w:cs="Tahoma"/>
          <w:b/>
          <w:i/>
          <w:sz w:val="20"/>
        </w:rPr>
        <w:t>debe necesariamente acreditarse que el contrato, orden de compra u orden de servicios ha sido resuelto por causal atribuible al propio contratista</w:t>
      </w:r>
      <w:r w:rsidRPr="002D5A85">
        <w:rPr>
          <w:rFonts w:ascii="Tahoma" w:hAnsi="Tahoma" w:cs="Tahoma"/>
          <w:sz w:val="20"/>
        </w:rPr>
        <w:t xml:space="preserve">, de conformidad </w:t>
      </w:r>
      <w:r w:rsidRPr="002D5A85">
        <w:rPr>
          <w:rFonts w:ascii="Tahoma" w:hAnsi="Tahoma" w:cs="Tahoma"/>
          <w:sz w:val="20"/>
          <w:lang w:val="es-PE"/>
        </w:rPr>
        <w:t xml:space="preserve">el </w:t>
      </w:r>
      <w:r w:rsidRPr="002D5A85">
        <w:rPr>
          <w:rFonts w:ascii="Tahoma" w:hAnsi="Tahoma" w:cs="Tahoma"/>
          <w:sz w:val="20"/>
        </w:rPr>
        <w:t>numeral 51.1 literal b) del artículo 51 de la Ley de Contrataciones del Estado  y siguiendo el procedimiento regulado en el artículo 169 del Reglamento. Por tanto, resulta imprescindible verificar preliminarmente si la Entidad observó el procedimiento de resolución del vínculo contractual.</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lastRenderedPageBreak/>
        <w:t>Al respecto, el numeral 2) del artículo 168</w:t>
      </w:r>
      <w:r w:rsidRPr="002D5A85">
        <w:rPr>
          <w:rStyle w:val="Refdenotaalpie"/>
          <w:rFonts w:ascii="Tahoma" w:hAnsi="Tahoma" w:cs="Tahoma"/>
          <w:sz w:val="20"/>
        </w:rPr>
        <w:footnoteReference w:id="2"/>
      </w:r>
      <w:r w:rsidRPr="002D5A85">
        <w:rPr>
          <w:rFonts w:ascii="Tahoma" w:hAnsi="Tahoma" w:cs="Tahoma"/>
          <w:sz w:val="20"/>
        </w:rPr>
        <w:t xml:space="preserve"> del Reglamento, dispone que en el caso en que la resolución del contrato se deba a la acumulación el monto máximo de la penalidad por mora o el monto máximo por otras penalidades, en la ejecución de la prestación a su cargo, la Entidad podrá resolver el contrato, mediante el envío por vía notarial del documento en el que se manifieste esta decisión y el motivo que la justifica, sin necesidad de un requerimiento previo por parte de la misma, para el cumplimiento de dicho contrato.</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 xml:space="preserve">Sobre el particular, el numeral 4 del artículo 230 de la Ley del Procedimiento Administrativo General consagra el </w:t>
      </w:r>
      <w:r w:rsidRPr="002D5A85">
        <w:rPr>
          <w:rFonts w:ascii="Tahoma" w:hAnsi="Tahoma" w:cs="Tahoma"/>
          <w:i/>
          <w:sz w:val="20"/>
        </w:rPr>
        <w:t>principio de tipicidad</w:t>
      </w:r>
      <w:r w:rsidRPr="002D5A85">
        <w:rPr>
          <w:rFonts w:ascii="Tahoma" w:hAnsi="Tahoma" w:cs="Tahoma"/>
          <w:sz w:val="20"/>
        </w:rPr>
        <w:t xml:space="preserve">, conforme al cual las conductas expresamente descritas como sancionables no pueden admitir interpretación extensiva o analógica, mientras que el numeral 2 del mismo artículo hace referencia al </w:t>
      </w:r>
      <w:r w:rsidRPr="002D5A85">
        <w:rPr>
          <w:rFonts w:ascii="Tahoma" w:hAnsi="Tahoma" w:cs="Tahoma"/>
          <w:i/>
          <w:sz w:val="20"/>
        </w:rPr>
        <w:t>principio del debido procedimiento</w:t>
      </w:r>
      <w:r w:rsidRPr="002D5A85">
        <w:rPr>
          <w:rFonts w:ascii="Tahoma" w:hAnsi="Tahoma" w:cs="Tahoma"/>
          <w:sz w:val="20"/>
        </w:rPr>
        <w:t>, por cuya virtud las Entidades aplicarán sanciones sujetando su actuación al procedimiento establecido, respetando las garantías inherentes al debido procedimiento.</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Ahora bien, el Procedimiento de Resolución Contractual, cuya observancia es condición necesaria para evaluar la existencia de eventuales responsabilidades de carácter administrativo, se encuentra previsto en el artículo 169 del Reglamento</w:t>
      </w:r>
      <w:r w:rsidRPr="002D5A85">
        <w:rPr>
          <w:rStyle w:val="Refdenotaalpie"/>
          <w:rFonts w:ascii="Tahoma" w:hAnsi="Tahoma" w:cs="Tahoma"/>
          <w:sz w:val="20"/>
        </w:rPr>
        <w:footnoteReference w:id="3"/>
      </w:r>
      <w:r w:rsidRPr="002D5A85">
        <w:rPr>
          <w:rFonts w:ascii="Tahoma" w:hAnsi="Tahoma" w:cs="Tahoma"/>
          <w:sz w:val="20"/>
        </w:rPr>
        <w:t xml:space="preserve">, </w:t>
      </w:r>
      <w:r w:rsidRPr="002D5A85">
        <w:rPr>
          <w:rFonts w:ascii="Tahoma" w:hAnsi="Tahoma" w:cs="Tahoma"/>
          <w:sz w:val="20"/>
          <w:u w:val="single"/>
        </w:rPr>
        <w:t>según el cual en caso de incumplimiento contractual de sus obligaciones, la que resulte perjudicada con tal hecho deberá requerirla mediante carta notarial para que las satisfaga en un plazo no mayor a cinco (5) días, bajo apercibimiento de resolver el contrato. Si vencido dicho plazo el incumplimiento continúa, la parte perjudicada resolverá el contrato en forma total o parcial, comunicando mediante carta notarial la decisión de resolver el contrato.</w:t>
      </w:r>
      <w:r w:rsidRPr="002D5A85">
        <w:rPr>
          <w:rFonts w:ascii="Tahoma" w:hAnsi="Tahoma" w:cs="Tahoma"/>
          <w:sz w:val="20"/>
        </w:rPr>
        <w:t xml:space="preserve"> </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 xml:space="preserve">Por otro lado, y en vinculación con las formalidades del procedimiento de resolución contractual establecido en el Reglamento, el artículo 100 del Decreto Legislativo 1049: Ley del Notariado, establece que el Notario certificará la entrega de cartas e instrumentos que los interesados le soliciten, a la dirección del destinatario, dentro de los límites de su jurisdicción, </w:t>
      </w:r>
      <w:r w:rsidRPr="002D5A85">
        <w:rPr>
          <w:rFonts w:ascii="Tahoma" w:hAnsi="Tahoma" w:cs="Tahoma"/>
          <w:b/>
          <w:i/>
          <w:sz w:val="20"/>
        </w:rPr>
        <w:t xml:space="preserve">dejando constancia de su entrega o de las circunstancias de su diligenciamiento </w:t>
      </w:r>
      <w:r w:rsidRPr="002D5A85">
        <w:rPr>
          <w:rFonts w:ascii="Tahoma" w:hAnsi="Tahoma" w:cs="Tahoma"/>
          <w:sz w:val="20"/>
        </w:rPr>
        <w:t>en el duplicado que devolverá a los interesados.</w:t>
      </w:r>
    </w:p>
    <w:p w:rsidR="002D5A85" w:rsidRPr="002D5A85" w:rsidRDefault="002D5A85" w:rsidP="002D5A85">
      <w:pPr>
        <w:pStyle w:val="Prrafodelista"/>
        <w:rPr>
          <w:rFonts w:ascii="Tahoma" w:hAnsi="Tahoma" w:cs="Tahoma"/>
          <w:spacing w:val="-2"/>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pacing w:val="-2"/>
          <w:sz w:val="20"/>
        </w:rPr>
        <w:t>En relación al cumplimiento de las normas antes referidas</w:t>
      </w:r>
      <w:r w:rsidRPr="002D5A85">
        <w:rPr>
          <w:rFonts w:ascii="Tahoma" w:hAnsi="Tahoma" w:cs="Tahoma"/>
          <w:sz w:val="20"/>
        </w:rPr>
        <w:t xml:space="preserve">; de la revisión del expediente administrativo se puede apreciar que, la Entidad, si bien ha cumplido con remitir el documento notarial </w:t>
      </w:r>
      <w:r w:rsidRPr="002D5A85">
        <w:rPr>
          <w:rFonts w:ascii="Tahoma" w:hAnsi="Tahoma" w:cs="Tahoma"/>
          <w:sz w:val="20"/>
          <w:lang w:val="es-PE"/>
        </w:rPr>
        <w:t xml:space="preserve">a través del cual le requiere  al Contratista el cumplimiento de sus obligaciones contractuales, otorgándole un plazo de dos días para su cumplimiento, bajo apercibimiento de resolver la Orden de Compra. </w:t>
      </w:r>
    </w:p>
    <w:p w:rsidR="002D5A85" w:rsidRPr="002D5A85" w:rsidRDefault="002D5A85" w:rsidP="002D5A85">
      <w:pPr>
        <w:pStyle w:val="Prrafodelista"/>
        <w:rPr>
          <w:rFonts w:ascii="Tahoma" w:hAnsi="Tahoma" w:cs="Tahoma"/>
          <w:sz w:val="20"/>
          <w:lang w:val="es-PE"/>
        </w:rPr>
      </w:pPr>
    </w:p>
    <w:p w:rsidR="002D5A85" w:rsidRPr="002D5A85" w:rsidRDefault="002D5A85" w:rsidP="002D5A85">
      <w:pPr>
        <w:pStyle w:val="Prrafodelista"/>
        <w:widowControl/>
        <w:suppressAutoHyphens w:val="0"/>
        <w:ind w:left="567"/>
        <w:contextualSpacing/>
        <w:jc w:val="both"/>
        <w:rPr>
          <w:rFonts w:ascii="Tahoma" w:hAnsi="Tahoma" w:cs="Tahoma"/>
          <w:sz w:val="20"/>
        </w:rPr>
      </w:pPr>
      <w:r w:rsidRPr="002D5A85">
        <w:rPr>
          <w:rFonts w:ascii="Tahoma" w:hAnsi="Tahoma" w:cs="Tahoma"/>
          <w:sz w:val="20"/>
          <w:lang w:val="es-PE"/>
        </w:rPr>
        <w:t xml:space="preserve">Asimismo, está en el presente expediente administrativo (folio 46) la Carta Notarial Nº 29-2010-SUNAT/2G3600, con la cual le comunica la Resolución de la Orden de Compra Nº 2010000038. </w:t>
      </w:r>
    </w:p>
    <w:p w:rsidR="002D5A85" w:rsidRPr="002D5A85" w:rsidRDefault="002D5A85" w:rsidP="002D5A85">
      <w:pPr>
        <w:pStyle w:val="Prrafodelista"/>
        <w:rPr>
          <w:rFonts w:ascii="Tahoma" w:hAnsi="Tahoma" w:cs="Tahoma"/>
          <w:sz w:val="20"/>
          <w:lang w:val="es-MX"/>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lang w:val="es-MX"/>
        </w:rPr>
        <w:t xml:space="preserve">Así pues, se encuentran en el presente expediente administrativo los documentos </w:t>
      </w:r>
      <w:r w:rsidRPr="002D5A85">
        <w:rPr>
          <w:rFonts w:ascii="Tahoma" w:hAnsi="Tahoma" w:cs="Tahoma"/>
          <w:b/>
          <w:i/>
          <w:sz w:val="20"/>
          <w:lang w:val="es-MX"/>
        </w:rPr>
        <w:t xml:space="preserve">notariales </w:t>
      </w:r>
      <w:r w:rsidRPr="002D5A85">
        <w:rPr>
          <w:rFonts w:ascii="Tahoma" w:hAnsi="Tahoma" w:cs="Tahoma"/>
          <w:sz w:val="20"/>
          <w:lang w:val="es-MX"/>
        </w:rPr>
        <w:t>mediante los cuales, la Entidad habría requerido en primer lugar el cumplimiento de las obligaciones contractuales y posteriormente a ello, notificado al Contratista denunciado sobre su decisión de resolver la orden de compra, por haber continuado su incumplimiento</w:t>
      </w:r>
      <w:r w:rsidRPr="002D5A85">
        <w:rPr>
          <w:rFonts w:ascii="Tahoma" w:hAnsi="Tahoma" w:cs="Tahoma"/>
          <w:sz w:val="20"/>
        </w:rPr>
        <w:t xml:space="preserve">, </w:t>
      </w:r>
      <w:r w:rsidRPr="002D5A85">
        <w:rPr>
          <w:rFonts w:ascii="Tahoma" w:hAnsi="Tahoma" w:cs="Tahoma"/>
          <w:sz w:val="20"/>
          <w:lang w:val="es-MX"/>
        </w:rPr>
        <w:t xml:space="preserve">este Colegiado concluye que la Entidad ha cumplido con el </w:t>
      </w:r>
      <w:r w:rsidRPr="002D5A85">
        <w:rPr>
          <w:rFonts w:ascii="Tahoma" w:hAnsi="Tahoma" w:cs="Tahoma"/>
          <w:sz w:val="20"/>
        </w:rPr>
        <w:t>procedimiento de resolución contractual, cuya observancia es condición necesaria para la configuración del presupuesto correspondiente a la infracción prevista en el numeral 2) del artículo 168 del Reglamento.</w:t>
      </w:r>
    </w:p>
    <w:p w:rsidR="002D5A85" w:rsidRPr="002D5A85" w:rsidRDefault="002D5A85" w:rsidP="002D5A85">
      <w:pPr>
        <w:pStyle w:val="Prrafodelista"/>
        <w:widowControl/>
        <w:suppressAutoHyphens w:val="0"/>
        <w:ind w:left="567"/>
        <w:contextualSpacing/>
        <w:jc w:val="both"/>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Cabe precisar, llegados a este punto, que el Contratista no ha objetado el incumplimiento contractual que le fue imputado, omitiendo recurrir a los mecanismos de solución de controversias previstos en la normativa de contrataciones, tales como la conciliación y el arbitraje, por lo que debe entenderse que la resolución contractual ha quedado administrativamente firme y consentida.</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 xml:space="preserve">Conforme a lo establecido en el artículo 49 de la Ley, </w:t>
      </w:r>
      <w:r w:rsidRPr="002D5A85">
        <w:rPr>
          <w:rFonts w:ascii="Tahoma" w:hAnsi="Tahoma" w:cs="Tahoma"/>
          <w:sz w:val="20"/>
          <w:u w:val="single"/>
        </w:rPr>
        <w:t>los contratistas están obligados a cumplir cabalmente con lo ofrecido en su propuesta y en cualquier manifestación formal documentada, que hayan aportado adicionalmente en el curso del proceso de selección o en la formalización del contrato.</w:t>
      </w:r>
      <w:r w:rsidRPr="002D5A85">
        <w:rPr>
          <w:rFonts w:ascii="Tahoma" w:hAnsi="Tahoma" w:cs="Tahoma"/>
          <w:sz w:val="20"/>
        </w:rPr>
        <w:t xml:space="preserve"> En esta misma línea, el artículo 142 del Reglamento prevé que el contrato es obligatorio para las partes que lo suscriben.</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 xml:space="preserve">En el presente caso, se desprende de los actuados que el Contratista, pese a haber sido válidamente requerido por la Entidad para que cumpla con entregar las tapas y contratapas para expedientes de procedimientos contenciosos y de fiscalización de acuerdo a las especificaciones contenidas en la Orden de Compra Nº 2010000038, y  habérsele concedido un plazo de 02 días para ello, ha persistido en su incumplimiento, hecho que ha desencadenado la resolución de dicha relación contractual.  </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 xml:space="preserve">En dicho sentido, la Entidad emitió a favor del Contratista la Orden de Compra Nº 2010000038, y este último sólo cumplió con entregar unas muestras, las cuales fueron observadas por el área usuaria en varias oportunidades, por no cumplir con los requerimientos establecidas en dicha orden, las mismas que al no haber sido absueltas y haber continuado con el incumplimiento de sus obligaciones contractuales, finalmente se generó la resolución del vínculo contractual. </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 xml:space="preserve">Al respecto, nótese que de acuerdo con lo establecido en el artículo 1314 del Código Civil, quien actúa con la diligencia ordinaria requerida, no es imputable por la inejecución de la obligación, o por su incumplimiento parcial, tardío o defectuoso. </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Asimismo, respecto del incumplimiento de obligaciones, existe la presunción legal establecida en el artículo 1329 del mismo Código sustantivo, según el cual aquél es producto de la falta de diligencia del deudor</w:t>
      </w:r>
      <w:r w:rsidRPr="002D5A85">
        <w:rPr>
          <w:rStyle w:val="Refdenotaalpie"/>
          <w:rFonts w:ascii="Tahoma" w:hAnsi="Tahoma" w:cs="Tahoma"/>
          <w:sz w:val="20"/>
        </w:rPr>
        <w:footnoteReference w:id="4"/>
      </w:r>
      <w:r w:rsidRPr="002D5A85">
        <w:rPr>
          <w:rFonts w:ascii="Tahoma" w:hAnsi="Tahoma" w:cs="Tahoma"/>
          <w:sz w:val="20"/>
        </w:rPr>
        <w:t>, lo que implica que es su deber demostrar lo contrario y acreditar que, pese a haber actuado con la diligencia ordinaria exigida por la naturaleza de la prestación, le fue imposible cumplirla. Por ende, considerando que el Contratista, no ha efectuado descargo alguno durante la tramitación del presente procedimiento administrativo sancionador a fin de acreditar que el incumplimiento se haya generado por causas ajenas a su voluntad ni que haya actuado con la diligencia ordinaria debida, este Tribunal concluye que la resolución de la orden de compra le resulta imputable.</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 xml:space="preserve">Por las consideraciones expuestas, se colige que la resolución de la Orden de Compra Nº 2010000038 estuvo motivada por causal atribuible al Contratista, al no haber cumplido con entregar los bienes ofertados, por lo que el hecho imputado califica como infracción administrativa según la causal de imposición de sanción tipificada en el numeral 51.1 </w:t>
      </w:r>
      <w:r w:rsidRPr="002D5A85">
        <w:rPr>
          <w:rFonts w:ascii="Tahoma" w:hAnsi="Tahoma" w:cs="Tahoma"/>
          <w:spacing w:val="-2"/>
          <w:sz w:val="20"/>
        </w:rPr>
        <w:t>literal b) del artículo 51 de la Ley</w:t>
      </w:r>
      <w:r w:rsidRPr="002D5A85">
        <w:rPr>
          <w:rFonts w:ascii="Tahoma" w:hAnsi="Tahoma" w:cs="Tahoma"/>
          <w:sz w:val="20"/>
        </w:rPr>
        <w:t>, debiendo concluirse la existencia de responsabilidad de la Contratista denunciado en su comisión.</w:t>
      </w:r>
    </w:p>
    <w:p w:rsidR="002D5A85" w:rsidRPr="002D5A85" w:rsidRDefault="002D5A85" w:rsidP="002D5A85">
      <w:pPr>
        <w:pStyle w:val="Prrafodelista"/>
        <w:rPr>
          <w:rFonts w:ascii="Tahoma" w:hAnsi="Tahoma" w:cs="Tahoma"/>
          <w:sz w:val="20"/>
          <w:lang w:val="es-MX"/>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lang w:val="es-MX"/>
        </w:rPr>
        <w:t xml:space="preserve">En relación con la sanción imponible, el artículo 51 de la Ley establece que aquellos contratistas que den lugar a la resolución del contrato por causal atribuible a su parte serán inhabilitados temporalmente para contratar con el Estado por un periodo no menor a un año ni mayor de tres años, conforme a los criterios </w:t>
      </w:r>
      <w:r w:rsidRPr="002D5A85">
        <w:rPr>
          <w:rFonts w:ascii="Tahoma" w:hAnsi="Tahoma" w:cs="Tahoma"/>
          <w:sz w:val="20"/>
        </w:rPr>
        <w:t>para la determinación gradual de la sanción previstos en el artículo 245 del Reglamento</w:t>
      </w:r>
      <w:r w:rsidRPr="002D5A85">
        <w:rPr>
          <w:rStyle w:val="Refdenotaalpie"/>
          <w:rFonts w:ascii="Tahoma" w:hAnsi="Tahoma" w:cs="Tahoma"/>
          <w:sz w:val="20"/>
        </w:rPr>
        <w:footnoteReference w:id="5"/>
      </w:r>
      <w:r w:rsidRPr="002D5A85">
        <w:rPr>
          <w:rFonts w:ascii="Tahoma" w:hAnsi="Tahoma" w:cs="Tahoma"/>
          <w:sz w:val="20"/>
        </w:rPr>
        <w:t xml:space="preserve">. </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 xml:space="preserve">De esta manera, en lo que concierne a la naturaleza de la infracción, es importante señalar que la conducta efectuada por el Contratista reviste de una cierta </w:t>
      </w:r>
      <w:r w:rsidRPr="002D5A85">
        <w:rPr>
          <w:rFonts w:ascii="Tahoma" w:hAnsi="Tahoma" w:cs="Tahoma"/>
          <w:sz w:val="20"/>
        </w:rPr>
        <w:lastRenderedPageBreak/>
        <w:t xml:space="preserve">importancia en la medida que desde el momento en que se asumió un compromiso contractual frente a la Entidad, se encontraba llamado a cumplir cabalmente con lo ofrecido. </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Asimismo, en cuanto a la conducta procesal del infractor, es necesario tener presente que el Contratista no ha presentado sus descargos durante la sustanciación del presente procedimiento administrativo sancionador descargo alguno.</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De igual manera, en relación con el criterio de condiciones del infractor, es pertinente tener en consideración que el Contratista ha sido sancionado  por este Colegiado, mediante Resolución Nº Resolución Nº 602-2011-TC-S3 de fecha 07 de abril de 2011, por un periodo de doce meses.</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z w:val="20"/>
        </w:rPr>
        <w:t xml:space="preserve">Finalmente, resulta importante traer a colación el </w:t>
      </w:r>
      <w:r w:rsidRPr="002D5A85">
        <w:rPr>
          <w:rFonts w:ascii="Tahoma" w:hAnsi="Tahoma" w:cs="Tahoma"/>
          <w:i/>
          <w:sz w:val="20"/>
        </w:rPr>
        <w:t>principio de razonabilidad</w:t>
      </w:r>
      <w:r w:rsidRPr="002D5A85">
        <w:rPr>
          <w:rFonts w:ascii="Tahoma" w:hAnsi="Tahoma" w:cs="Tahoma"/>
          <w:sz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2D5A85" w:rsidRPr="002D5A85" w:rsidRDefault="002D5A85" w:rsidP="002D5A85">
      <w:pPr>
        <w:pStyle w:val="Prrafodelista"/>
        <w:rPr>
          <w:rFonts w:ascii="Tahoma" w:hAnsi="Tahoma" w:cs="Tahoma"/>
          <w:snapToGrid w:val="0"/>
          <w:sz w:val="20"/>
        </w:rPr>
      </w:pPr>
    </w:p>
    <w:p w:rsidR="002D5A85" w:rsidRPr="002D5A85" w:rsidRDefault="002D5A85" w:rsidP="002D5A85">
      <w:pPr>
        <w:pStyle w:val="Prrafodelista"/>
        <w:widowControl/>
        <w:numPr>
          <w:ilvl w:val="3"/>
          <w:numId w:val="2"/>
        </w:numPr>
        <w:suppressAutoHyphens w:val="0"/>
        <w:ind w:left="567" w:hanging="567"/>
        <w:contextualSpacing/>
        <w:jc w:val="both"/>
        <w:rPr>
          <w:rFonts w:ascii="Tahoma" w:hAnsi="Tahoma" w:cs="Tahoma"/>
          <w:sz w:val="20"/>
        </w:rPr>
      </w:pPr>
      <w:r w:rsidRPr="002D5A85">
        <w:rPr>
          <w:rFonts w:ascii="Tahoma" w:hAnsi="Tahoma" w:cs="Tahoma"/>
          <w:snapToGrid w:val="0"/>
          <w:sz w:val="20"/>
        </w:rPr>
        <w:t>En consecuencia, en base a los criterios anteriormente aludidos</w:t>
      </w:r>
      <w:r w:rsidRPr="002D5A85">
        <w:rPr>
          <w:rFonts w:ascii="Tahoma" w:hAnsi="Tahoma" w:cs="Tahoma"/>
          <w:sz w:val="20"/>
        </w:rPr>
        <w:t>, corresponde imponer al Contratista la sanción administrativa de inhabilitación temporal en sus derechos para participar en procesos de selección y contratar con el Estado por el periodo de catorce (14) meses.</w:t>
      </w:r>
    </w:p>
    <w:p w:rsidR="000B581C" w:rsidRPr="00324E38" w:rsidRDefault="000B581C" w:rsidP="000B581C">
      <w:pPr>
        <w:spacing w:after="0" w:line="240" w:lineRule="auto"/>
        <w:jc w:val="both"/>
        <w:rPr>
          <w:rFonts w:ascii="Tahoma" w:hAnsi="Tahoma" w:cs="Tahoma"/>
          <w:sz w:val="20"/>
          <w:szCs w:val="20"/>
        </w:rPr>
      </w:pPr>
    </w:p>
    <w:p w:rsidR="000B581C" w:rsidRPr="00956344" w:rsidRDefault="000B581C" w:rsidP="000B581C">
      <w:pPr>
        <w:spacing w:after="0" w:line="240" w:lineRule="auto"/>
        <w:ind w:firstLine="567"/>
        <w:jc w:val="both"/>
        <w:rPr>
          <w:rFonts w:ascii="Tahoma" w:hAnsi="Tahoma" w:cs="Tahoma"/>
          <w:sz w:val="20"/>
          <w:szCs w:val="20"/>
        </w:rPr>
      </w:pPr>
      <w:r w:rsidRPr="0050011E">
        <w:rPr>
          <w:rFonts w:ascii="Tahoma" w:hAnsi="Tahoma" w:cs="Tahoma"/>
          <w:sz w:val="20"/>
        </w:rPr>
        <w:t xml:space="preserve">Por estos fundamentos, de conformidad con el informe del Vocal Ponente Dr. Jorge Enrique Silva Dávila y la intervención de los Vocales Dr. </w:t>
      </w:r>
      <w:r>
        <w:rPr>
          <w:rFonts w:ascii="Tahoma" w:hAnsi="Tahoma" w:cs="Tahoma"/>
          <w:sz w:val="20"/>
        </w:rPr>
        <w:t xml:space="preserve">Martín </w:t>
      </w:r>
      <w:r w:rsidRPr="0050011E">
        <w:rPr>
          <w:rFonts w:ascii="Tahoma" w:hAnsi="Tahoma" w:cs="Tahoma"/>
          <w:sz w:val="20"/>
        </w:rPr>
        <w:t xml:space="preserve">Zumaeta </w:t>
      </w:r>
      <w:proofErr w:type="spellStart"/>
      <w:r w:rsidRPr="0050011E">
        <w:rPr>
          <w:rFonts w:ascii="Tahoma" w:hAnsi="Tahoma" w:cs="Tahoma"/>
          <w:sz w:val="20"/>
        </w:rPr>
        <w:t>Giudichi</w:t>
      </w:r>
      <w:proofErr w:type="spellEnd"/>
      <w:r w:rsidRPr="0050011E">
        <w:rPr>
          <w:rFonts w:ascii="Tahoma" w:hAnsi="Tahoma" w:cs="Tahoma"/>
          <w:sz w:val="20"/>
        </w:rPr>
        <w:t xml:space="preserve"> y Dra. </w:t>
      </w:r>
      <w:proofErr w:type="spellStart"/>
      <w:r w:rsidRPr="0050011E">
        <w:rPr>
          <w:rFonts w:ascii="Tahoma" w:hAnsi="Tahoma" w:cs="Tahoma"/>
          <w:sz w:val="20"/>
        </w:rPr>
        <w:t>Dammar</w:t>
      </w:r>
      <w:proofErr w:type="spellEnd"/>
      <w:r w:rsidRPr="0050011E">
        <w:rPr>
          <w:rFonts w:ascii="Tahoma" w:hAnsi="Tahoma" w:cs="Tahoma"/>
          <w:sz w:val="20"/>
        </w:rPr>
        <w:t xml:space="preserve"> Salazar Díaz, atendiendo a la </w:t>
      </w:r>
      <w:proofErr w:type="spellStart"/>
      <w:r w:rsidRPr="0050011E">
        <w:rPr>
          <w:rFonts w:ascii="Tahoma" w:hAnsi="Tahoma" w:cs="Tahoma"/>
          <w:sz w:val="20"/>
        </w:rPr>
        <w:t>reconformación</w:t>
      </w:r>
      <w:proofErr w:type="spellEnd"/>
      <w:r w:rsidRPr="0050011E">
        <w:rPr>
          <w:rFonts w:ascii="Tahoma" w:hAnsi="Tahoma" w:cs="Tahoma"/>
          <w:sz w:val="20"/>
        </w:rPr>
        <w:t xml:space="preserve"> de la Cuarta Sala del Tribunal de Contrataciones del Estado, según lo dispuesto en la Resolución № 103-2011-OSCE/PRE, expedida el 29 de marzo de 2010, y lo previsto en el Acuerdo Nº 002/2010, y en ejercicio de las facultades conferidas en los artículos 51 y 63 de la Ley de Contrataciones del Estado, aprobada por Decreto Legislativo № 1017, su Reglamento, aprobado por Decreto Supremo № 184-2008-EF,</w:t>
      </w:r>
      <w:r w:rsidRPr="0050011E">
        <w:rPr>
          <w:rFonts w:ascii="Tahoma" w:hAnsi="Tahoma" w:cs="Tahoma"/>
          <w:color w:val="000000"/>
          <w:sz w:val="20"/>
        </w:rPr>
        <w:t xml:space="preserve"> </w:t>
      </w:r>
      <w:r w:rsidRPr="0050011E">
        <w:rPr>
          <w:rFonts w:ascii="Tahoma" w:hAnsi="Tahoma" w:cs="Tahoma"/>
          <w:sz w:val="20"/>
        </w:rPr>
        <w:t>y los artículos 17 y 18 del Reglamento de Organización y Funciones del OSCE, aprobado por Decreto Supremo № 006-2009-EF, analizados los antecedentes y luego de agotado el debate correspondiente, por</w:t>
      </w:r>
      <w:r w:rsidR="002D5A85">
        <w:rPr>
          <w:rFonts w:ascii="Tahoma" w:hAnsi="Tahoma" w:cs="Tahoma"/>
          <w:sz w:val="20"/>
        </w:rPr>
        <w:t xml:space="preserve"> mayoría</w:t>
      </w:r>
      <w:r>
        <w:rPr>
          <w:rFonts w:ascii="Tahoma" w:hAnsi="Tahoma" w:cs="Tahoma"/>
          <w:sz w:val="20"/>
        </w:rPr>
        <w:t xml:space="preserve">, </w:t>
      </w:r>
    </w:p>
    <w:p w:rsidR="000B581C" w:rsidRDefault="000B581C" w:rsidP="000B581C">
      <w:pPr>
        <w:spacing w:after="0" w:line="240" w:lineRule="auto"/>
        <w:jc w:val="both"/>
        <w:rPr>
          <w:rFonts w:ascii="Tahoma" w:hAnsi="Tahoma" w:cs="Tahoma"/>
          <w:sz w:val="20"/>
          <w:szCs w:val="20"/>
        </w:rPr>
      </w:pPr>
    </w:p>
    <w:p w:rsidR="000B581C" w:rsidRPr="00324E38" w:rsidRDefault="000B581C" w:rsidP="000B581C">
      <w:pPr>
        <w:spacing w:after="0" w:line="240" w:lineRule="auto"/>
        <w:jc w:val="both"/>
        <w:rPr>
          <w:rFonts w:ascii="Tahoma" w:hAnsi="Tahoma" w:cs="Tahoma"/>
          <w:sz w:val="20"/>
          <w:szCs w:val="20"/>
        </w:rPr>
      </w:pPr>
    </w:p>
    <w:p w:rsidR="000B581C" w:rsidRPr="00324E38" w:rsidRDefault="000B581C" w:rsidP="000B581C">
      <w:pPr>
        <w:spacing w:after="0" w:line="240" w:lineRule="auto"/>
        <w:ind w:right="-315"/>
        <w:jc w:val="both"/>
        <w:rPr>
          <w:rFonts w:ascii="Tahoma" w:hAnsi="Tahoma" w:cs="Tahoma"/>
          <w:b/>
          <w:sz w:val="20"/>
          <w:szCs w:val="20"/>
        </w:rPr>
      </w:pPr>
      <w:smartTag w:uri="urn:schemas-microsoft-com:office:smarttags" w:element="PersonName">
        <w:smartTagPr>
          <w:attr w:name="ProductID" w:val="LA SALA RESUELVE"/>
        </w:smartTagPr>
        <w:r w:rsidRPr="00324E38">
          <w:rPr>
            <w:rFonts w:ascii="Tahoma" w:hAnsi="Tahoma" w:cs="Tahoma"/>
            <w:b/>
            <w:sz w:val="20"/>
            <w:szCs w:val="20"/>
          </w:rPr>
          <w:t>LA SALA RESUELVE</w:t>
        </w:r>
      </w:smartTag>
      <w:r w:rsidRPr="00324E38">
        <w:rPr>
          <w:rFonts w:ascii="Tahoma" w:hAnsi="Tahoma" w:cs="Tahoma"/>
          <w:b/>
          <w:sz w:val="20"/>
          <w:szCs w:val="20"/>
        </w:rPr>
        <w:t>:</w:t>
      </w:r>
    </w:p>
    <w:p w:rsidR="000B581C" w:rsidRPr="00324E38" w:rsidRDefault="000B581C" w:rsidP="000B581C">
      <w:pPr>
        <w:spacing w:after="0" w:line="240" w:lineRule="auto"/>
        <w:ind w:right="-315"/>
        <w:jc w:val="both"/>
        <w:rPr>
          <w:rFonts w:ascii="Tahoma" w:hAnsi="Tahoma" w:cs="Tahoma"/>
          <w:b/>
          <w:sz w:val="20"/>
          <w:szCs w:val="20"/>
        </w:rPr>
      </w:pPr>
    </w:p>
    <w:p w:rsidR="002D5A85" w:rsidRPr="002D5A85" w:rsidRDefault="002D5A85" w:rsidP="002D5A85">
      <w:pPr>
        <w:pStyle w:val="NormalWeb"/>
        <w:numPr>
          <w:ilvl w:val="0"/>
          <w:numId w:val="1"/>
        </w:numPr>
        <w:tabs>
          <w:tab w:val="num" w:pos="567"/>
        </w:tabs>
        <w:spacing w:before="0" w:beforeAutospacing="0" w:after="0" w:afterAutospacing="0"/>
        <w:ind w:left="567" w:hanging="567"/>
        <w:jc w:val="both"/>
        <w:rPr>
          <w:rFonts w:ascii="Tahoma" w:hAnsi="Tahoma" w:cs="Tahoma"/>
          <w:sz w:val="20"/>
          <w:szCs w:val="20"/>
        </w:rPr>
      </w:pPr>
      <w:r w:rsidRPr="002D5A85">
        <w:rPr>
          <w:rFonts w:ascii="Tahoma" w:hAnsi="Tahoma" w:cs="Tahoma"/>
          <w:sz w:val="20"/>
          <w:szCs w:val="20"/>
        </w:rPr>
        <w:t xml:space="preserve">Imponer al señor LUIS GRIMALDO PÉREZ MEDINA, sanción administrativa de inhabilitación temporal por el periodo de catorce (14) meses en sus derechos de participar en procesos de selección y contratar con el Estado, por la comisión de la infracción tipificada en el </w:t>
      </w:r>
      <w:r w:rsidRPr="002D5A85">
        <w:rPr>
          <w:rFonts w:ascii="Tahoma" w:hAnsi="Tahoma" w:cs="Tahoma"/>
          <w:spacing w:val="-2"/>
          <w:sz w:val="20"/>
          <w:szCs w:val="20"/>
        </w:rPr>
        <w:t>literal b) del numeral 51.1 del artículo 51 de la Ley</w:t>
      </w:r>
      <w:r w:rsidRPr="002D5A85">
        <w:rPr>
          <w:rFonts w:ascii="Tahoma" w:hAnsi="Tahoma" w:cs="Tahoma"/>
          <w:sz w:val="20"/>
          <w:szCs w:val="20"/>
        </w:rPr>
        <w:t xml:space="preserve">, la cual entrará en vigencia a partir del sexto día hábil siguiente de notificada la presente Resolución. </w:t>
      </w:r>
    </w:p>
    <w:p w:rsidR="002D5A85" w:rsidRPr="002D5A85" w:rsidRDefault="002D5A85" w:rsidP="002D5A85">
      <w:pPr>
        <w:pStyle w:val="NormalWeb"/>
        <w:spacing w:before="0" w:beforeAutospacing="0" w:after="0" w:afterAutospacing="0"/>
        <w:ind w:left="426"/>
        <w:jc w:val="both"/>
        <w:rPr>
          <w:rFonts w:ascii="Tahoma" w:hAnsi="Tahoma" w:cs="Tahoma"/>
          <w:sz w:val="20"/>
          <w:szCs w:val="20"/>
        </w:rPr>
      </w:pPr>
    </w:p>
    <w:p w:rsidR="002D5A85" w:rsidRPr="002D5A85" w:rsidRDefault="002D5A85" w:rsidP="002D5A85">
      <w:pPr>
        <w:pStyle w:val="NormalWeb"/>
        <w:numPr>
          <w:ilvl w:val="0"/>
          <w:numId w:val="1"/>
        </w:numPr>
        <w:tabs>
          <w:tab w:val="num" w:pos="567"/>
        </w:tabs>
        <w:spacing w:before="0" w:beforeAutospacing="0" w:after="0" w:afterAutospacing="0"/>
        <w:ind w:left="567" w:hanging="567"/>
        <w:jc w:val="both"/>
        <w:rPr>
          <w:rFonts w:ascii="Tahoma" w:hAnsi="Tahoma" w:cs="Tahoma"/>
          <w:sz w:val="20"/>
          <w:szCs w:val="20"/>
        </w:rPr>
      </w:pPr>
      <w:r w:rsidRPr="002D5A85">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0B581C" w:rsidRPr="00324E38" w:rsidRDefault="000B581C" w:rsidP="000B581C">
      <w:pPr>
        <w:spacing w:after="0" w:line="240" w:lineRule="auto"/>
        <w:jc w:val="both"/>
        <w:rPr>
          <w:rFonts w:ascii="Tahoma" w:hAnsi="Tahoma" w:cs="Tahoma"/>
          <w:sz w:val="20"/>
          <w:szCs w:val="20"/>
        </w:rPr>
      </w:pPr>
    </w:p>
    <w:p w:rsidR="000B581C" w:rsidRPr="00324E38" w:rsidRDefault="000B581C" w:rsidP="000B581C">
      <w:pPr>
        <w:spacing w:after="0" w:line="240" w:lineRule="auto"/>
        <w:jc w:val="both"/>
        <w:rPr>
          <w:rFonts w:ascii="Tahoma" w:hAnsi="Tahoma" w:cs="Tahoma"/>
          <w:sz w:val="20"/>
          <w:szCs w:val="20"/>
        </w:rPr>
      </w:pPr>
    </w:p>
    <w:p w:rsidR="000B581C" w:rsidRPr="00324E38" w:rsidRDefault="000B581C" w:rsidP="000B581C">
      <w:pPr>
        <w:pStyle w:val="Textoindependiente21"/>
        <w:ind w:right="-315"/>
        <w:rPr>
          <w:rFonts w:cs="Tahoma"/>
          <w:sz w:val="20"/>
        </w:rPr>
      </w:pPr>
      <w:r w:rsidRPr="00324E38">
        <w:rPr>
          <w:rFonts w:cs="Tahoma"/>
          <w:sz w:val="20"/>
        </w:rPr>
        <w:t>Regístrese, comuníquese y publíquese.</w:t>
      </w:r>
    </w:p>
    <w:p w:rsidR="000B581C" w:rsidRPr="00324E38" w:rsidRDefault="000B581C" w:rsidP="000B581C">
      <w:pPr>
        <w:spacing w:after="0" w:line="240" w:lineRule="auto"/>
        <w:rPr>
          <w:rFonts w:ascii="Tahoma" w:hAnsi="Tahoma" w:cs="Tahoma"/>
          <w:b/>
          <w:shadow/>
          <w:sz w:val="20"/>
          <w:szCs w:val="20"/>
        </w:rPr>
      </w:pPr>
    </w:p>
    <w:p w:rsidR="000B581C" w:rsidRPr="00324E38" w:rsidRDefault="000B581C" w:rsidP="000B581C">
      <w:pPr>
        <w:spacing w:after="0" w:line="240" w:lineRule="auto"/>
        <w:rPr>
          <w:rFonts w:ascii="Tahoma" w:hAnsi="Tahoma" w:cs="Tahoma"/>
          <w:b/>
          <w:shadow/>
          <w:sz w:val="20"/>
          <w:szCs w:val="20"/>
        </w:rPr>
      </w:pPr>
    </w:p>
    <w:p w:rsidR="000B581C" w:rsidRPr="00324E38" w:rsidRDefault="000B581C" w:rsidP="000B581C">
      <w:pPr>
        <w:spacing w:after="0" w:line="240" w:lineRule="auto"/>
        <w:rPr>
          <w:rFonts w:ascii="Tahoma" w:hAnsi="Tahoma" w:cs="Tahoma"/>
          <w:b/>
          <w:shadow/>
          <w:sz w:val="20"/>
          <w:szCs w:val="20"/>
        </w:rPr>
      </w:pPr>
    </w:p>
    <w:p w:rsidR="000B581C" w:rsidRPr="00324E38" w:rsidRDefault="000B581C" w:rsidP="000B581C">
      <w:pPr>
        <w:spacing w:after="0" w:line="240" w:lineRule="auto"/>
        <w:rPr>
          <w:rFonts w:ascii="Tahoma" w:hAnsi="Tahoma" w:cs="Tahoma"/>
          <w:b/>
          <w:shadow/>
          <w:sz w:val="20"/>
          <w:szCs w:val="20"/>
        </w:rPr>
      </w:pPr>
    </w:p>
    <w:p w:rsidR="000B581C" w:rsidRPr="00324E38" w:rsidRDefault="000B581C" w:rsidP="000B581C">
      <w:pPr>
        <w:spacing w:after="0" w:line="240" w:lineRule="auto"/>
        <w:rPr>
          <w:rFonts w:ascii="Tahoma" w:hAnsi="Tahoma" w:cs="Tahoma"/>
          <w:b/>
          <w:shadow/>
          <w:sz w:val="20"/>
          <w:szCs w:val="20"/>
        </w:rPr>
      </w:pPr>
    </w:p>
    <w:p w:rsidR="000B581C" w:rsidRPr="00324E38" w:rsidRDefault="000B581C" w:rsidP="000B581C">
      <w:pPr>
        <w:spacing w:after="0" w:line="240" w:lineRule="auto"/>
        <w:ind w:left="2832" w:firstLine="708"/>
        <w:rPr>
          <w:rFonts w:ascii="Tahoma" w:hAnsi="Tahoma" w:cs="Tahoma"/>
          <w:b/>
          <w:shadow/>
          <w:sz w:val="20"/>
          <w:szCs w:val="20"/>
        </w:rPr>
      </w:pPr>
      <w:r w:rsidRPr="00324E38">
        <w:rPr>
          <w:rFonts w:ascii="Tahoma" w:hAnsi="Tahoma" w:cs="Tahoma"/>
          <w:b/>
          <w:shadow/>
          <w:sz w:val="20"/>
          <w:szCs w:val="20"/>
        </w:rPr>
        <w:t>PRESIDENTE</w:t>
      </w:r>
    </w:p>
    <w:p w:rsidR="000B581C" w:rsidRPr="00324E38" w:rsidRDefault="000B581C" w:rsidP="000B581C">
      <w:pPr>
        <w:spacing w:after="0" w:line="240" w:lineRule="auto"/>
        <w:rPr>
          <w:rFonts w:ascii="Tahoma" w:hAnsi="Tahoma" w:cs="Tahoma"/>
          <w:b/>
          <w:shadow/>
          <w:sz w:val="20"/>
          <w:szCs w:val="20"/>
        </w:rPr>
      </w:pPr>
    </w:p>
    <w:p w:rsidR="000B581C" w:rsidRPr="00324E38" w:rsidRDefault="000B581C" w:rsidP="000B581C">
      <w:pPr>
        <w:spacing w:after="0" w:line="240" w:lineRule="auto"/>
        <w:rPr>
          <w:rFonts w:ascii="Tahoma" w:hAnsi="Tahoma" w:cs="Tahoma"/>
          <w:b/>
          <w:shadow/>
          <w:sz w:val="20"/>
          <w:szCs w:val="20"/>
        </w:rPr>
      </w:pPr>
    </w:p>
    <w:p w:rsidR="000B581C" w:rsidRPr="00324E38" w:rsidRDefault="000B581C" w:rsidP="000B581C">
      <w:pPr>
        <w:spacing w:after="0" w:line="240" w:lineRule="auto"/>
        <w:rPr>
          <w:rFonts w:ascii="Tahoma" w:hAnsi="Tahoma" w:cs="Tahoma"/>
          <w:b/>
          <w:shadow/>
          <w:sz w:val="20"/>
          <w:szCs w:val="20"/>
        </w:rPr>
      </w:pPr>
    </w:p>
    <w:p w:rsidR="000B581C" w:rsidRPr="00324E38" w:rsidRDefault="000B581C" w:rsidP="000B581C">
      <w:pPr>
        <w:spacing w:after="0" w:line="240" w:lineRule="auto"/>
        <w:rPr>
          <w:rFonts w:ascii="Tahoma" w:hAnsi="Tahoma" w:cs="Tahoma"/>
          <w:b/>
          <w:shadow/>
          <w:sz w:val="20"/>
          <w:szCs w:val="20"/>
        </w:rPr>
      </w:pPr>
    </w:p>
    <w:p w:rsidR="000B581C" w:rsidRPr="00324E38" w:rsidRDefault="000B581C" w:rsidP="000B581C">
      <w:pPr>
        <w:spacing w:after="0" w:line="240" w:lineRule="auto"/>
        <w:rPr>
          <w:rFonts w:ascii="Tahoma" w:hAnsi="Tahoma" w:cs="Tahoma"/>
          <w:shadow/>
          <w:sz w:val="20"/>
          <w:szCs w:val="20"/>
        </w:rPr>
      </w:pPr>
      <w:r w:rsidRPr="00324E38">
        <w:rPr>
          <w:rFonts w:ascii="Tahoma" w:hAnsi="Tahoma" w:cs="Tahoma"/>
          <w:b/>
          <w:shadow/>
          <w:sz w:val="20"/>
          <w:szCs w:val="20"/>
        </w:rPr>
        <w:t xml:space="preserve">                   VOCAL</w:t>
      </w:r>
      <w:r w:rsidRPr="00324E38">
        <w:rPr>
          <w:rFonts w:ascii="Tahoma" w:hAnsi="Tahoma" w:cs="Tahoma"/>
          <w:b/>
          <w:shadow/>
          <w:sz w:val="20"/>
          <w:szCs w:val="20"/>
        </w:rPr>
        <w:tab/>
      </w:r>
      <w:r w:rsidRPr="00324E38">
        <w:rPr>
          <w:rFonts w:ascii="Tahoma" w:hAnsi="Tahoma" w:cs="Tahoma"/>
          <w:b/>
          <w:shadow/>
          <w:sz w:val="20"/>
          <w:szCs w:val="20"/>
        </w:rPr>
        <w:tab/>
      </w:r>
      <w:r w:rsidRPr="00324E38">
        <w:rPr>
          <w:rFonts w:ascii="Tahoma" w:hAnsi="Tahoma" w:cs="Tahoma"/>
          <w:b/>
          <w:shadow/>
          <w:sz w:val="20"/>
          <w:szCs w:val="20"/>
        </w:rPr>
        <w:tab/>
      </w:r>
      <w:r w:rsidRPr="00324E38">
        <w:rPr>
          <w:rFonts w:ascii="Tahoma" w:hAnsi="Tahoma" w:cs="Tahoma"/>
          <w:b/>
          <w:shadow/>
          <w:sz w:val="20"/>
          <w:szCs w:val="20"/>
        </w:rPr>
        <w:tab/>
      </w:r>
      <w:r w:rsidRPr="00324E38">
        <w:rPr>
          <w:rFonts w:ascii="Tahoma" w:hAnsi="Tahoma" w:cs="Tahoma"/>
          <w:b/>
          <w:shadow/>
          <w:sz w:val="20"/>
          <w:szCs w:val="20"/>
        </w:rPr>
        <w:tab/>
      </w:r>
      <w:r w:rsidRPr="00324E38">
        <w:rPr>
          <w:rFonts w:ascii="Tahoma" w:hAnsi="Tahoma" w:cs="Tahoma"/>
          <w:b/>
          <w:shadow/>
          <w:sz w:val="20"/>
          <w:szCs w:val="20"/>
        </w:rPr>
        <w:tab/>
      </w:r>
      <w:r w:rsidRPr="00324E38">
        <w:rPr>
          <w:rFonts w:ascii="Tahoma" w:hAnsi="Tahoma" w:cs="Tahoma"/>
          <w:b/>
          <w:shadow/>
          <w:sz w:val="20"/>
          <w:szCs w:val="20"/>
        </w:rPr>
        <w:tab/>
      </w:r>
      <w:r w:rsidRPr="00324E38">
        <w:rPr>
          <w:rFonts w:ascii="Tahoma" w:hAnsi="Tahoma" w:cs="Tahoma"/>
          <w:b/>
          <w:shadow/>
          <w:sz w:val="20"/>
          <w:szCs w:val="20"/>
        </w:rPr>
        <w:tab/>
        <w:t xml:space="preserve">                                                           </w:t>
      </w:r>
    </w:p>
    <w:p w:rsidR="000B581C" w:rsidRPr="00324E38" w:rsidRDefault="000B581C" w:rsidP="000B581C">
      <w:pPr>
        <w:spacing w:after="0" w:line="240" w:lineRule="auto"/>
        <w:jc w:val="both"/>
        <w:rPr>
          <w:rFonts w:ascii="Tahoma" w:hAnsi="Tahoma" w:cs="Tahoma"/>
          <w:sz w:val="20"/>
          <w:szCs w:val="20"/>
        </w:rPr>
      </w:pPr>
    </w:p>
    <w:p w:rsidR="000B581C" w:rsidRPr="00324E38" w:rsidRDefault="000B581C" w:rsidP="000B581C">
      <w:pPr>
        <w:spacing w:after="0" w:line="240" w:lineRule="auto"/>
        <w:jc w:val="both"/>
        <w:rPr>
          <w:rFonts w:ascii="Tahoma" w:hAnsi="Tahoma" w:cs="Tahoma"/>
          <w:sz w:val="20"/>
          <w:szCs w:val="20"/>
        </w:rPr>
      </w:pPr>
      <w:r w:rsidRPr="00324E38">
        <w:rPr>
          <w:rFonts w:ascii="Tahoma" w:hAnsi="Tahoma" w:cs="Tahoma"/>
          <w:sz w:val="20"/>
          <w:szCs w:val="20"/>
        </w:rPr>
        <w:t>ss.</w:t>
      </w:r>
    </w:p>
    <w:p w:rsidR="000B581C" w:rsidRDefault="000B581C" w:rsidP="000B581C">
      <w:pPr>
        <w:tabs>
          <w:tab w:val="num" w:pos="9720"/>
        </w:tabs>
        <w:spacing w:after="0" w:line="240" w:lineRule="auto"/>
        <w:jc w:val="both"/>
        <w:rPr>
          <w:rFonts w:ascii="Tahoma" w:hAnsi="Tahoma" w:cs="Tahoma"/>
          <w:b/>
          <w:sz w:val="20"/>
          <w:szCs w:val="20"/>
        </w:rPr>
      </w:pPr>
      <w:r>
        <w:rPr>
          <w:rFonts w:ascii="Tahoma" w:hAnsi="Tahoma" w:cs="Tahoma"/>
          <w:b/>
          <w:sz w:val="20"/>
          <w:szCs w:val="20"/>
        </w:rPr>
        <w:t>Silva Dávila</w:t>
      </w:r>
    </w:p>
    <w:p w:rsidR="000B581C" w:rsidRDefault="000B581C" w:rsidP="000B581C">
      <w:pPr>
        <w:tabs>
          <w:tab w:val="num" w:pos="9720"/>
        </w:tabs>
        <w:spacing w:after="0" w:line="240" w:lineRule="auto"/>
        <w:jc w:val="both"/>
        <w:rPr>
          <w:rFonts w:ascii="Tahoma" w:hAnsi="Tahoma" w:cs="Tahoma"/>
          <w:sz w:val="20"/>
          <w:szCs w:val="20"/>
        </w:rPr>
      </w:pPr>
      <w:r w:rsidRPr="0037427D">
        <w:rPr>
          <w:rFonts w:ascii="Tahoma" w:hAnsi="Tahoma" w:cs="Tahoma"/>
          <w:sz w:val="20"/>
          <w:szCs w:val="20"/>
        </w:rPr>
        <w:t>Salazar Díaz.</w:t>
      </w: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Default="002D5A85" w:rsidP="000B581C">
      <w:pPr>
        <w:tabs>
          <w:tab w:val="num" w:pos="9720"/>
        </w:tabs>
        <w:spacing w:after="0" w:line="240" w:lineRule="auto"/>
        <w:jc w:val="both"/>
        <w:rPr>
          <w:rFonts w:ascii="Tahoma" w:hAnsi="Tahoma" w:cs="Tahoma"/>
          <w:sz w:val="20"/>
          <w:szCs w:val="20"/>
        </w:rPr>
      </w:pPr>
    </w:p>
    <w:p w:rsidR="002D5A85" w:rsidRPr="002D5A85" w:rsidRDefault="002D5A85" w:rsidP="002D5A85">
      <w:pPr>
        <w:jc w:val="center"/>
        <w:rPr>
          <w:rFonts w:ascii="Tahoma" w:hAnsi="Tahoma" w:cs="Tahoma"/>
          <w:b/>
          <w:sz w:val="20"/>
          <w:szCs w:val="20"/>
        </w:rPr>
      </w:pPr>
      <w:r w:rsidRPr="002D5A85">
        <w:rPr>
          <w:rFonts w:ascii="Tahoma" w:hAnsi="Tahoma" w:cs="Tahoma"/>
          <w:b/>
          <w:sz w:val="20"/>
          <w:szCs w:val="20"/>
        </w:rPr>
        <w:t>VOTO EN DICORDIA DEL VOCAL MARTIN ZUMAETA GIUDICHI</w:t>
      </w:r>
    </w:p>
    <w:p w:rsidR="002D5A85" w:rsidRPr="002D5A85" w:rsidRDefault="002D5A85" w:rsidP="002D5A85">
      <w:pPr>
        <w:jc w:val="center"/>
        <w:rPr>
          <w:rFonts w:ascii="Tahoma" w:hAnsi="Tahoma" w:cs="Tahoma"/>
          <w:b/>
          <w:sz w:val="20"/>
          <w:szCs w:val="20"/>
        </w:rPr>
      </w:pPr>
    </w:p>
    <w:p w:rsidR="002D5A85" w:rsidRDefault="002D5A85" w:rsidP="002D5A85">
      <w:pPr>
        <w:jc w:val="both"/>
        <w:rPr>
          <w:rFonts w:ascii="Tahoma" w:hAnsi="Tahoma" w:cs="Tahoma"/>
          <w:sz w:val="20"/>
          <w:szCs w:val="20"/>
        </w:rPr>
      </w:pPr>
      <w:r w:rsidRPr="002D5A85">
        <w:rPr>
          <w:rFonts w:ascii="Tahoma" w:hAnsi="Tahoma" w:cs="Tahoma"/>
          <w:sz w:val="20"/>
          <w:szCs w:val="20"/>
        </w:rPr>
        <w:t>El suscrito discrepa respetuosamente del voto formulado por la mayoría en los numerales 07 al 22 sobre la causal impuesta al Contratista por su supuesta responsabilidad al haber dado lugar a la resolución de la Orden de Compra Nº 2010000038 por causal atribuible a su parte, y sustenta el presente voto en discordia, basado en los siguientes fundamentos:</w:t>
      </w:r>
    </w:p>
    <w:p w:rsidR="002D5A85" w:rsidRPr="002D5A85" w:rsidRDefault="002D5A85" w:rsidP="002D5A85">
      <w:pPr>
        <w:jc w:val="both"/>
        <w:rPr>
          <w:rFonts w:ascii="Tahoma" w:hAnsi="Tahoma" w:cs="Tahoma"/>
          <w:sz w:val="20"/>
          <w:szCs w:val="20"/>
        </w:rPr>
      </w:pPr>
    </w:p>
    <w:p w:rsid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 xml:space="preserve">El presente procedimiento administrativo sancionador está referido a la  supuesta responsabilidad del señor LUIS GRIMALDO PEREZ MEDINA </w:t>
      </w:r>
      <w:r w:rsidRPr="002D5A85">
        <w:rPr>
          <w:rFonts w:ascii="Tahoma" w:hAnsi="Tahoma" w:cs="Tahoma"/>
          <w:sz w:val="20"/>
          <w:lang w:val="es-MX"/>
        </w:rPr>
        <w:t xml:space="preserve">al haber dado lugar  a la resolución de la </w:t>
      </w:r>
      <w:r w:rsidRPr="002D5A85">
        <w:rPr>
          <w:rFonts w:ascii="Tahoma" w:hAnsi="Tahoma" w:cs="Tahoma"/>
          <w:sz w:val="20"/>
        </w:rPr>
        <w:t xml:space="preserve">Orden de Compra Nº 2010000038 por causal atribuible a su parte, </w:t>
      </w:r>
      <w:r w:rsidRPr="002D5A85">
        <w:rPr>
          <w:rFonts w:ascii="Tahoma" w:eastAsia="MS Mincho" w:hAnsi="Tahoma" w:cs="Tahoma"/>
          <w:sz w:val="20"/>
        </w:rPr>
        <w:t>i</w:t>
      </w:r>
      <w:r w:rsidRPr="002D5A85">
        <w:rPr>
          <w:rFonts w:ascii="Tahoma" w:hAnsi="Tahoma" w:cs="Tahoma"/>
          <w:sz w:val="20"/>
        </w:rPr>
        <w:t>nfracción tipificada en el numeral 51.1 literal b) del artículo 51  de la Ley de Contrataciones del Estado, aprobado por Decreto Legislativo Nº 1017, en lo sucesivo la Ley, en concordancia con el numeral 1) literal b) del artículo 237 de su Reglamento, aprobado por Decreto Supremo Nº 184-2008-EF, norma aplicable al presente caso.</w:t>
      </w:r>
    </w:p>
    <w:p w:rsidR="002D5A85" w:rsidRPr="002D5A85" w:rsidRDefault="002D5A85" w:rsidP="002D5A85">
      <w:pPr>
        <w:pStyle w:val="Prrafodelista"/>
        <w:widowControl/>
        <w:suppressAutoHyphens w:val="0"/>
        <w:ind w:left="567"/>
        <w:jc w:val="both"/>
        <w:rPr>
          <w:rFonts w:ascii="Tahoma" w:hAnsi="Tahoma" w:cs="Tahoma"/>
          <w:sz w:val="20"/>
        </w:rPr>
      </w:pPr>
    </w:p>
    <w:p w:rsidR="002D5A85" w:rsidRP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Sobre la infracción tipificada en el numeral 51.1 literal b) del artículo 51</w:t>
      </w:r>
      <w:r w:rsidRPr="002D5A85">
        <w:rPr>
          <w:rStyle w:val="Refdenotaalpie"/>
          <w:rFonts w:ascii="Tahoma" w:hAnsi="Tahoma" w:cs="Tahoma"/>
          <w:sz w:val="20"/>
        </w:rPr>
        <w:footnoteReference w:id="6"/>
      </w:r>
      <w:r w:rsidRPr="002D5A85">
        <w:rPr>
          <w:rFonts w:ascii="Tahoma" w:hAnsi="Tahoma" w:cs="Tahoma"/>
          <w:sz w:val="20"/>
        </w:rPr>
        <w:t xml:space="preserve">  de la Ley, en concordancia con el numeral 1) literal b) del artículo 237</w:t>
      </w:r>
      <w:r w:rsidRPr="002D5A85">
        <w:rPr>
          <w:rStyle w:val="Refdenotaalpie"/>
          <w:rFonts w:ascii="Tahoma" w:hAnsi="Tahoma" w:cs="Tahoma"/>
          <w:sz w:val="20"/>
        </w:rPr>
        <w:footnoteReference w:id="7"/>
      </w:r>
      <w:r w:rsidRPr="002D5A85">
        <w:rPr>
          <w:rFonts w:ascii="Tahoma" w:hAnsi="Tahoma" w:cs="Tahoma"/>
          <w:sz w:val="20"/>
        </w:rPr>
        <w:t xml:space="preserve"> del Reglamento, la cual es imputada al Postor, el voto en mayoría señala que, dicha causal establece</w:t>
      </w:r>
      <w:r w:rsidRPr="002D5A85">
        <w:rPr>
          <w:rFonts w:ascii="Tahoma" w:hAnsi="Tahoma" w:cs="Tahoma"/>
          <w:sz w:val="20"/>
          <w:lang w:val="es-MX"/>
        </w:rPr>
        <w:t xml:space="preserve"> </w:t>
      </w:r>
      <w:r w:rsidRPr="002D5A85">
        <w:rPr>
          <w:rFonts w:ascii="Tahoma" w:hAnsi="Tahoma" w:cs="Tahoma"/>
          <w:sz w:val="20"/>
        </w:rPr>
        <w:t>que para que se configure el supuesto de hecho de la norma que contiene la infracción imputada, debe necesariamente acreditarse que el contrato, orden de compra u orden de servicio ha sido resuelto por causal atribuible al propio contratista y siguiendo el procedimiento establecido en el artículo 169 del Reglamento. Por lo que resulta imprescindible verificar preliminarmente si la Entidad observó el procedimiento de resolución del vínculo contractual.</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 xml:space="preserve">Al respecto debe tenerse presente lo establecido por la Ley </w:t>
      </w:r>
      <w:r w:rsidRPr="002D5A85">
        <w:rPr>
          <w:rFonts w:ascii="Tahoma" w:hAnsi="Tahoma" w:cs="Tahoma"/>
          <w:sz w:val="20"/>
          <w:lang w:val="es-PE"/>
        </w:rPr>
        <w:t xml:space="preserve">General </w:t>
      </w:r>
      <w:r w:rsidRPr="002D5A85">
        <w:rPr>
          <w:rFonts w:ascii="Tahoma" w:hAnsi="Tahoma" w:cs="Tahoma"/>
          <w:sz w:val="20"/>
        </w:rPr>
        <w:t xml:space="preserve">de Procedimientos Administrativos-Ley N° 27444, la cual regula de manera general los </w:t>
      </w:r>
      <w:r w:rsidRPr="002D5A85">
        <w:rPr>
          <w:rFonts w:ascii="Tahoma" w:hAnsi="Tahoma" w:cs="Tahoma"/>
          <w:sz w:val="20"/>
        </w:rPr>
        <w:lastRenderedPageBreak/>
        <w:t>procedimientos administrativos. En ese sentido, el mencionado dispositivo legal, en lo concerniente a la notificación de actos administrativos, prescribe lo siguiente:</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ind w:left="567"/>
        <w:jc w:val="both"/>
        <w:rPr>
          <w:rFonts w:ascii="Tahoma" w:hAnsi="Tahoma" w:cs="Tahoma"/>
          <w:b/>
          <w:i/>
          <w:sz w:val="20"/>
        </w:rPr>
      </w:pPr>
      <w:r w:rsidRPr="002D5A85">
        <w:rPr>
          <w:rFonts w:ascii="Tahoma" w:hAnsi="Tahoma" w:cs="Tahoma"/>
          <w:i/>
          <w:sz w:val="20"/>
        </w:rPr>
        <w:t>“</w:t>
      </w:r>
      <w:r w:rsidRPr="002D5A85">
        <w:rPr>
          <w:rFonts w:ascii="Tahoma" w:hAnsi="Tahoma" w:cs="Tahoma"/>
          <w:b/>
          <w:i/>
          <w:sz w:val="20"/>
        </w:rPr>
        <w:t>Artículo 21.- Régimen de la Notificación Personal</w:t>
      </w:r>
    </w:p>
    <w:p w:rsidR="002D5A85" w:rsidRPr="002D5A85" w:rsidRDefault="002D5A85" w:rsidP="002D5A85">
      <w:pPr>
        <w:pStyle w:val="Prrafodelista"/>
        <w:ind w:left="567"/>
        <w:jc w:val="both"/>
        <w:rPr>
          <w:rFonts w:ascii="Tahoma" w:hAnsi="Tahoma" w:cs="Tahoma"/>
          <w:b/>
          <w:i/>
          <w:sz w:val="20"/>
        </w:rPr>
      </w:pPr>
    </w:p>
    <w:p w:rsidR="002D5A85" w:rsidRPr="002D5A85" w:rsidRDefault="002D5A85" w:rsidP="002D5A85">
      <w:pPr>
        <w:pStyle w:val="Prrafodelista"/>
        <w:ind w:left="567"/>
        <w:jc w:val="both"/>
        <w:rPr>
          <w:rFonts w:ascii="Tahoma" w:hAnsi="Tahoma" w:cs="Tahoma"/>
          <w:i/>
          <w:sz w:val="20"/>
        </w:rPr>
      </w:pPr>
      <w:r w:rsidRPr="002D5A85">
        <w:rPr>
          <w:rFonts w:ascii="Tahoma" w:hAnsi="Tahoma" w:cs="Tahoma"/>
          <w:i/>
          <w:sz w:val="20"/>
        </w:rPr>
        <w:t>(…)</w:t>
      </w:r>
    </w:p>
    <w:p w:rsidR="002D5A85" w:rsidRPr="002D5A85" w:rsidRDefault="002D5A85" w:rsidP="002D5A85">
      <w:pPr>
        <w:pStyle w:val="Prrafodelista"/>
        <w:ind w:left="567"/>
        <w:jc w:val="both"/>
        <w:rPr>
          <w:rFonts w:ascii="Tahoma" w:hAnsi="Tahoma" w:cs="Tahoma"/>
          <w:i/>
          <w:sz w:val="20"/>
        </w:rPr>
      </w:pPr>
    </w:p>
    <w:p w:rsidR="002D5A85" w:rsidRDefault="002D5A85" w:rsidP="002D5A85">
      <w:pPr>
        <w:pStyle w:val="Prrafodelista"/>
        <w:ind w:left="1276" w:hanging="709"/>
        <w:jc w:val="both"/>
        <w:rPr>
          <w:rFonts w:ascii="Tahoma" w:hAnsi="Tahoma" w:cs="Tahoma"/>
          <w:i/>
          <w:sz w:val="20"/>
        </w:rPr>
      </w:pPr>
      <w:r w:rsidRPr="002D5A85">
        <w:rPr>
          <w:rFonts w:ascii="Tahoma" w:hAnsi="Tahoma" w:cs="Tahoma"/>
          <w:b/>
          <w:i/>
          <w:sz w:val="20"/>
        </w:rPr>
        <w:t xml:space="preserve">21.5   </w:t>
      </w:r>
      <w:r w:rsidRPr="002D5A85">
        <w:rPr>
          <w:rFonts w:ascii="Tahoma" w:hAnsi="Tahoma" w:cs="Tahoma"/>
          <w:i/>
          <w:sz w:val="20"/>
        </w:rPr>
        <w:t>En caso de no encontrar al administrado u otra persona en el domicilio señalado en el procedimiento, el notificador deberá dejar constancia de ello en el acta y colocar un aviso en dicho domicilio indicando la nueva fecha en que se hará efectiva la siguiente notificación. Si tampoco pudiera entregar directamente la notificación en la nueva fecha, se dejará debajo de la puerta un acta conjuntamente con la notificación, copia de los cuales serán incorporados en el expediente”</w:t>
      </w:r>
    </w:p>
    <w:p w:rsidR="002D5A85" w:rsidRPr="002D5A85" w:rsidRDefault="002D5A85" w:rsidP="002D5A85">
      <w:pPr>
        <w:pStyle w:val="Prrafodelista"/>
        <w:ind w:left="1276" w:hanging="709"/>
        <w:jc w:val="both"/>
        <w:rPr>
          <w:rFonts w:ascii="Tahoma" w:hAnsi="Tahoma" w:cs="Tahoma"/>
          <w:i/>
          <w:sz w:val="20"/>
        </w:rPr>
      </w:pPr>
    </w:p>
    <w:p w:rsidR="002D5A85" w:rsidRP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Conforme lo expuesto, corresponde analizar el procedimiento seguido por la Entidad para la resolución de la Orden de Compra N° 2010000038, la cual si bien debe efectuarse por conducto notarial, de acuerdo a lo establecido en el artículo 169 del Reglamento, debe asimismo seguir el procedimiento para la notificación antes descrito establecido en la Ley N° 27444.</w:t>
      </w:r>
    </w:p>
    <w:p w:rsidR="002D5A85" w:rsidRPr="002D5A85" w:rsidRDefault="002D5A85" w:rsidP="002D5A85">
      <w:pPr>
        <w:pStyle w:val="Prrafodelista"/>
        <w:ind w:left="567"/>
        <w:jc w:val="both"/>
        <w:rPr>
          <w:rFonts w:ascii="Tahoma" w:hAnsi="Tahoma" w:cs="Tahoma"/>
          <w:sz w:val="20"/>
        </w:rPr>
      </w:pPr>
    </w:p>
    <w:p w:rsid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 xml:space="preserve">De lo anterior, tenemos que a fojas 041 del Expediente Administrativo Nº 130/2011.TC se encuentra copia de la </w:t>
      </w:r>
      <w:r w:rsidRPr="002D5A85">
        <w:rPr>
          <w:rFonts w:ascii="Tahoma" w:hAnsi="Tahoma" w:cs="Tahoma"/>
          <w:b/>
          <w:sz w:val="20"/>
        </w:rPr>
        <w:t>Carta Notarial Nº 22-2010-SUNAT/2G3600</w:t>
      </w:r>
      <w:r w:rsidRPr="002D5A85">
        <w:rPr>
          <w:rFonts w:ascii="Tahoma" w:hAnsi="Tahoma" w:cs="Tahoma"/>
          <w:sz w:val="20"/>
        </w:rPr>
        <w:t>, mediante la cual la Entidad requirió al Contratista el cumplimiento de las obligaciones previstas en la Orden de Compra Nº 2010000038 en un plazo de dos días bajo apercibimiento de resolver la mencionada orden de compra.</w:t>
      </w:r>
    </w:p>
    <w:p w:rsidR="002D5A85" w:rsidRPr="002D5A85" w:rsidRDefault="002D5A85" w:rsidP="002D5A85">
      <w:pPr>
        <w:pStyle w:val="Prrafodelista"/>
        <w:rPr>
          <w:rFonts w:ascii="Tahoma" w:hAnsi="Tahoma" w:cs="Tahoma"/>
          <w:sz w:val="20"/>
        </w:rPr>
      </w:pPr>
    </w:p>
    <w:p w:rsidR="002D5A85" w:rsidRDefault="002D5A85" w:rsidP="002D5A85">
      <w:pPr>
        <w:pStyle w:val="Prrafodelista"/>
        <w:widowControl/>
        <w:suppressAutoHyphens w:val="0"/>
        <w:ind w:left="567"/>
        <w:jc w:val="both"/>
        <w:rPr>
          <w:rFonts w:ascii="Tahoma" w:hAnsi="Tahoma" w:cs="Tahoma"/>
          <w:sz w:val="20"/>
        </w:rPr>
      </w:pPr>
      <w:r w:rsidRPr="002D5A85">
        <w:rPr>
          <w:rFonts w:ascii="Tahoma" w:hAnsi="Tahoma" w:cs="Tahoma"/>
          <w:sz w:val="20"/>
        </w:rPr>
        <w:t>Respecto al diligenciamiento y notificación de la mencionada carta notarial, el Notario Orlando Malca Pérez señaló lo siguiente:</w:t>
      </w:r>
    </w:p>
    <w:p w:rsidR="002D5A85" w:rsidRPr="002D5A85" w:rsidRDefault="002D5A85" w:rsidP="002D5A85">
      <w:pPr>
        <w:pStyle w:val="Prrafodelista"/>
        <w:widowControl/>
        <w:suppressAutoHyphens w:val="0"/>
        <w:ind w:left="567"/>
        <w:jc w:val="both"/>
        <w:rPr>
          <w:rFonts w:ascii="Tahoma" w:hAnsi="Tahoma" w:cs="Tahoma"/>
          <w:sz w:val="20"/>
        </w:rPr>
      </w:pPr>
    </w:p>
    <w:p w:rsidR="002D5A85" w:rsidRPr="002D5A85" w:rsidRDefault="002D5A85" w:rsidP="002D5A85">
      <w:pPr>
        <w:ind w:left="567"/>
        <w:jc w:val="both"/>
        <w:rPr>
          <w:rFonts w:ascii="Tahoma" w:hAnsi="Tahoma" w:cs="Tahoma"/>
          <w:i/>
          <w:sz w:val="20"/>
          <w:szCs w:val="20"/>
        </w:rPr>
      </w:pPr>
      <w:r w:rsidRPr="002D5A85">
        <w:rPr>
          <w:rFonts w:ascii="Tahoma" w:hAnsi="Tahoma" w:cs="Tahoma"/>
          <w:i/>
          <w:sz w:val="20"/>
          <w:szCs w:val="20"/>
        </w:rPr>
        <w:t>“El notario que suscribe certifica que la presente carta notarial, ha sido diligenciada el día 25 de agosto del año en curso, siendo las 2:00 p.m., no pudiendo ser entregada en la dirección consignada, por cuanto el destinatario se encontraba ausente, asimismo a solicitud de la Entidad remitente, se procedió a diligenciarla por segunda oportunidad el día de hoy, siendo las 10:48 a.m., siendo dejada debajo del domicilio consignado, no habiendo encontrado al destinatario o persona que la reciba en su nombre, de lo que doy fe.</w:t>
      </w:r>
    </w:p>
    <w:p w:rsidR="002D5A85" w:rsidRPr="002D5A85" w:rsidRDefault="002D5A85" w:rsidP="002D5A85">
      <w:pPr>
        <w:ind w:left="567"/>
        <w:jc w:val="both"/>
        <w:rPr>
          <w:rFonts w:ascii="Tahoma" w:hAnsi="Tahoma" w:cs="Tahoma"/>
          <w:i/>
          <w:sz w:val="20"/>
          <w:szCs w:val="20"/>
        </w:rPr>
      </w:pPr>
      <w:r w:rsidRPr="002D5A85">
        <w:rPr>
          <w:rFonts w:ascii="Tahoma" w:hAnsi="Tahoma" w:cs="Tahoma"/>
          <w:i/>
          <w:sz w:val="20"/>
          <w:szCs w:val="20"/>
        </w:rPr>
        <w:t>Callao, 26 de agosto de 2010”.</w:t>
      </w:r>
    </w:p>
    <w:p w:rsidR="002D5A85" w:rsidRP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 xml:space="preserve">Asimismo, a fojas 046 del Expediente Administrativo N° 130/2011.TC se encuentra copia de la </w:t>
      </w:r>
      <w:r w:rsidRPr="002D5A85">
        <w:rPr>
          <w:rFonts w:ascii="Tahoma" w:hAnsi="Tahoma" w:cs="Tahoma"/>
          <w:b/>
          <w:sz w:val="20"/>
        </w:rPr>
        <w:t>Carta Notarial N° 29-2010-SUNAT/2G3600</w:t>
      </w:r>
      <w:r w:rsidRPr="002D5A85">
        <w:rPr>
          <w:rFonts w:ascii="Tahoma" w:hAnsi="Tahoma" w:cs="Tahoma"/>
          <w:sz w:val="20"/>
        </w:rPr>
        <w:t>, mediante la cual la Entidad le comunicó al Contratista la resolución de la Orden de Compra Nº 2010000038.</w:t>
      </w:r>
    </w:p>
    <w:p w:rsidR="002D5A85" w:rsidRDefault="002D5A85" w:rsidP="002D5A85">
      <w:pPr>
        <w:pStyle w:val="Prrafodelista"/>
        <w:ind w:left="567"/>
        <w:jc w:val="both"/>
        <w:rPr>
          <w:rFonts w:ascii="Tahoma" w:hAnsi="Tahoma" w:cs="Tahoma"/>
          <w:sz w:val="20"/>
        </w:rPr>
      </w:pPr>
    </w:p>
    <w:p w:rsidR="002D5A85" w:rsidRPr="002D5A85" w:rsidRDefault="002D5A85" w:rsidP="002D5A85">
      <w:pPr>
        <w:pStyle w:val="Prrafodelista"/>
        <w:ind w:left="567"/>
        <w:jc w:val="both"/>
        <w:rPr>
          <w:rFonts w:ascii="Tahoma" w:hAnsi="Tahoma" w:cs="Tahoma"/>
          <w:sz w:val="20"/>
        </w:rPr>
      </w:pPr>
    </w:p>
    <w:p w:rsidR="002D5A85" w:rsidRPr="002D5A85" w:rsidRDefault="002D5A85" w:rsidP="002D5A85">
      <w:pPr>
        <w:pStyle w:val="Prrafodelista"/>
        <w:ind w:left="567"/>
        <w:jc w:val="both"/>
        <w:rPr>
          <w:rFonts w:ascii="Tahoma" w:hAnsi="Tahoma" w:cs="Tahoma"/>
          <w:sz w:val="20"/>
        </w:rPr>
      </w:pPr>
      <w:r w:rsidRPr="002D5A85">
        <w:rPr>
          <w:rFonts w:ascii="Tahoma" w:hAnsi="Tahoma" w:cs="Tahoma"/>
          <w:sz w:val="20"/>
        </w:rPr>
        <w:lastRenderedPageBreak/>
        <w:t>Respecto del diligenciamiento y notificación de la mencionada carta notarial, el Notario Orlando Malca Pérez señaló lo siguiente:</w:t>
      </w:r>
    </w:p>
    <w:p w:rsidR="002D5A85" w:rsidRPr="002D5A85" w:rsidRDefault="002D5A85" w:rsidP="002D5A85">
      <w:pPr>
        <w:pStyle w:val="Prrafodelista"/>
        <w:ind w:left="567"/>
        <w:jc w:val="both"/>
        <w:rPr>
          <w:rFonts w:ascii="Tahoma" w:hAnsi="Tahoma" w:cs="Tahoma"/>
          <w:sz w:val="20"/>
        </w:rPr>
      </w:pPr>
    </w:p>
    <w:p w:rsidR="002D5A85" w:rsidRPr="002D5A85" w:rsidRDefault="002D5A85" w:rsidP="002D5A85">
      <w:pPr>
        <w:pStyle w:val="Prrafodelista"/>
        <w:ind w:left="567"/>
        <w:jc w:val="both"/>
        <w:rPr>
          <w:rFonts w:ascii="Tahoma" w:hAnsi="Tahoma" w:cs="Tahoma"/>
          <w:i/>
          <w:sz w:val="20"/>
        </w:rPr>
      </w:pPr>
      <w:r w:rsidRPr="002D5A85">
        <w:rPr>
          <w:rFonts w:ascii="Tahoma" w:hAnsi="Tahoma" w:cs="Tahoma"/>
          <w:i/>
          <w:sz w:val="20"/>
        </w:rPr>
        <w:t>“El notario que suscribe certifica que la presente carta notarial, ha sido diligenciada el día de hoy, siendo las 11:35 a.m., siendo dejada debajo del domicilio consignado, no habiendo encontrado al destinatario o persona que la reciba en su nombre. De lo que doy fe.</w:t>
      </w:r>
    </w:p>
    <w:p w:rsidR="002D5A85" w:rsidRPr="002D5A85" w:rsidRDefault="002D5A85" w:rsidP="002D5A85">
      <w:pPr>
        <w:pStyle w:val="Prrafodelista"/>
        <w:ind w:left="567"/>
        <w:jc w:val="both"/>
        <w:rPr>
          <w:rFonts w:ascii="Tahoma" w:hAnsi="Tahoma" w:cs="Tahoma"/>
          <w:i/>
          <w:sz w:val="20"/>
        </w:rPr>
      </w:pPr>
      <w:r w:rsidRPr="002D5A85">
        <w:rPr>
          <w:rFonts w:ascii="Tahoma" w:hAnsi="Tahoma" w:cs="Tahoma"/>
          <w:i/>
          <w:sz w:val="20"/>
        </w:rPr>
        <w:t>Callao, 13 de septiembre de 2010”.</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De lo anterior, se advierte que la notificación de la</w:t>
      </w:r>
      <w:r w:rsidRPr="002D5A85">
        <w:rPr>
          <w:rFonts w:ascii="Tahoma" w:hAnsi="Tahoma" w:cs="Tahoma"/>
          <w:b/>
          <w:sz w:val="20"/>
        </w:rPr>
        <w:t xml:space="preserve"> </w:t>
      </w:r>
      <w:r w:rsidRPr="002D5A85">
        <w:rPr>
          <w:rFonts w:ascii="Tahoma" w:hAnsi="Tahoma" w:cs="Tahoma"/>
          <w:sz w:val="20"/>
        </w:rPr>
        <w:t>Carta Notarial Nº 22-2010-SUNAT/2G3600, por medio de la cual la Entidad requirió al Contratista el cumplimiento de sus obligaciones, se encuentra debidamente notificada, toda vez que, conforme lo ha consignado el notario encargado de su diligenciamiento, se procedió a visitar la dirección del Contratista en dos oportunidades dejando, en la segunda visita, bajo puerta la mencionada carta notarial.</w:t>
      </w:r>
    </w:p>
    <w:p w:rsidR="002D5A85" w:rsidRPr="002D5A85" w:rsidRDefault="002D5A85" w:rsidP="002D5A85">
      <w:pPr>
        <w:pStyle w:val="Prrafodelista"/>
        <w:ind w:left="567"/>
        <w:jc w:val="both"/>
        <w:rPr>
          <w:rFonts w:ascii="Tahoma" w:hAnsi="Tahoma" w:cs="Tahoma"/>
          <w:sz w:val="20"/>
        </w:rPr>
      </w:pPr>
    </w:p>
    <w:p w:rsidR="002D5A85" w:rsidRP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 xml:space="preserve">Sin embargo, respecto de </w:t>
      </w:r>
      <w:r w:rsidRPr="002D5A85">
        <w:rPr>
          <w:rFonts w:ascii="Tahoma" w:hAnsi="Tahoma" w:cs="Tahoma"/>
          <w:sz w:val="20"/>
          <w:u w:val="single"/>
        </w:rPr>
        <w:t>la notificación de la Carta Notarial N° 29-2010-SUNAT/2G3600, por medio de la cual la Entidad comunicó al Contratista la resolución de la Orden de Compra Nº 2010000038</w:t>
      </w:r>
      <w:r w:rsidRPr="002D5A85">
        <w:rPr>
          <w:rFonts w:ascii="Tahoma" w:hAnsi="Tahoma" w:cs="Tahoma"/>
          <w:sz w:val="20"/>
        </w:rPr>
        <w:t>, cabe indicar que al reverso de la misma se aprecia el sello del Notario Orlando Malca Pérez, quien dejó constancia que la carta fue diligenciada a la dirección consignada por el Contratista y fue dejada “</w:t>
      </w:r>
      <w:r w:rsidRPr="002D5A85">
        <w:rPr>
          <w:rFonts w:ascii="Tahoma" w:hAnsi="Tahoma" w:cs="Tahoma"/>
          <w:i/>
          <w:sz w:val="20"/>
        </w:rPr>
        <w:t>bajo la puerta”</w:t>
      </w:r>
      <w:r w:rsidRPr="002D5A85">
        <w:rPr>
          <w:rFonts w:ascii="Tahoma" w:hAnsi="Tahoma" w:cs="Tahoma"/>
          <w:sz w:val="20"/>
        </w:rPr>
        <w:t xml:space="preserve"> de la referida dirección. Respecto a ello, cabe indicar que si bien la normativa de contratación pública ha establecido que ambas cartas deban ser canalizadas a través de conducto notarial, la normativa especial no ha establecido la manera o forma en que deba llevarse a cabo el diligenciamiento de dichas comunicaciones por parte del Notario.</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 xml:space="preserve">Al respecto, cabe señalar que conforme al artículo 100 del Decreto Legislativo № 1049, Ley de Notariado, el notario certificará la entrega de cartas e instrumentos que los interesados le soliciten, a la dirección del destinatario, dentro de los límites de su jurisdicción, </w:t>
      </w:r>
      <w:r w:rsidRPr="002D5A85">
        <w:rPr>
          <w:rFonts w:ascii="Tahoma" w:hAnsi="Tahoma" w:cs="Tahoma"/>
          <w:b/>
          <w:sz w:val="20"/>
        </w:rPr>
        <w:t>dejando constancia de su entrega o de las circunstancias de su diligenciamiento</w:t>
      </w:r>
      <w:r w:rsidRPr="002D5A85">
        <w:rPr>
          <w:rFonts w:ascii="Tahoma" w:hAnsi="Tahoma" w:cs="Tahoma"/>
          <w:sz w:val="20"/>
        </w:rPr>
        <w:t xml:space="preserve"> en el duplicado que devolverá a los interesados. </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ind w:left="567"/>
        <w:jc w:val="both"/>
        <w:rPr>
          <w:rFonts w:ascii="Tahoma" w:hAnsi="Tahoma" w:cs="Tahoma"/>
          <w:sz w:val="20"/>
        </w:rPr>
      </w:pPr>
      <w:r w:rsidRPr="002D5A85">
        <w:rPr>
          <w:rFonts w:ascii="Tahoma" w:hAnsi="Tahoma" w:cs="Tahoma"/>
          <w:sz w:val="20"/>
        </w:rPr>
        <w:t xml:space="preserve">Como puede apreciarse, no en todos los casos el notario dará fe de la entrega de la carta, sino que en ciertas oportunidades únicamente dejará constancia del diligenciamiento de notificación de la misma, así esta no se hubiera llegado a concretar. </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Con relación a lo expuesto, debe tenerse en cuenta que conforme al artículo 21 de la Ley № 27444, Ley de Procedimiento Administrativo General</w:t>
      </w:r>
      <w:r w:rsidRPr="002D5A85">
        <w:rPr>
          <w:rStyle w:val="Refdenotaalpie"/>
          <w:rFonts w:ascii="Tahoma" w:hAnsi="Tahoma" w:cs="Tahoma"/>
          <w:sz w:val="20"/>
        </w:rPr>
        <w:footnoteReference w:id="8"/>
      </w:r>
      <w:r w:rsidRPr="002D5A85">
        <w:rPr>
          <w:rFonts w:ascii="Tahoma" w:hAnsi="Tahoma" w:cs="Tahoma"/>
          <w:sz w:val="20"/>
        </w:rPr>
        <w:t xml:space="preserve">, norma aplicable supletoriamente al presente caso, cuando no se encontrase al administrado u otra persona en el domicilio señalado en el procedimiento, </w:t>
      </w:r>
      <w:r w:rsidRPr="002D5A85">
        <w:rPr>
          <w:rFonts w:ascii="Tahoma" w:hAnsi="Tahoma" w:cs="Tahoma"/>
          <w:b/>
          <w:sz w:val="20"/>
        </w:rPr>
        <w:t>el notificador deberá dejar constancia de ello en el acta y colocar un aviso en dicho domicilio indicando la nueva fecha en que se hará efectiva la siguiente notificación.</w:t>
      </w:r>
      <w:r w:rsidRPr="002D5A85">
        <w:rPr>
          <w:rFonts w:ascii="Tahoma" w:hAnsi="Tahoma" w:cs="Tahoma"/>
          <w:sz w:val="20"/>
        </w:rPr>
        <w:t xml:space="preserve"> Si tampoco pudiera entregar directamente la notificación en la </w:t>
      </w:r>
      <w:r w:rsidRPr="002D5A85">
        <w:rPr>
          <w:rFonts w:ascii="Tahoma" w:hAnsi="Tahoma" w:cs="Tahoma"/>
          <w:sz w:val="20"/>
        </w:rPr>
        <w:lastRenderedPageBreak/>
        <w:t xml:space="preserve">nueva fecha, </w:t>
      </w:r>
      <w:r w:rsidRPr="002D5A85">
        <w:rPr>
          <w:rFonts w:ascii="Tahoma" w:hAnsi="Tahoma" w:cs="Tahoma"/>
          <w:b/>
          <w:sz w:val="20"/>
        </w:rPr>
        <w:t>se dejará debajo de la puerta</w:t>
      </w:r>
      <w:r w:rsidRPr="002D5A85">
        <w:rPr>
          <w:rFonts w:ascii="Tahoma" w:hAnsi="Tahoma" w:cs="Tahoma"/>
          <w:sz w:val="20"/>
        </w:rPr>
        <w:t xml:space="preserve"> un acta conjuntamente con la notificación.</w:t>
      </w:r>
    </w:p>
    <w:p w:rsidR="002D5A85" w:rsidRPr="002D5A85" w:rsidRDefault="002D5A85" w:rsidP="002D5A85">
      <w:pPr>
        <w:pStyle w:val="Prrafodelista"/>
        <w:ind w:left="567"/>
        <w:jc w:val="both"/>
        <w:rPr>
          <w:rFonts w:ascii="Tahoma" w:hAnsi="Tahoma" w:cs="Tahoma"/>
          <w:sz w:val="20"/>
        </w:rPr>
      </w:pPr>
    </w:p>
    <w:p w:rsidR="002D5A85" w:rsidRP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 xml:space="preserve">En tal sentido, si bien la citada norma reconoce la posibilidad de notificar bajo puerta en el domicilio de los administrados, establece como condición que se visite previamente el domicilio dejando un aviso señalando la nueva fecha en que se realizará la siguiente notificación, a fin de garantizar que el interesado esté informado que tiene una notificación pendiente. En el presente caso, por ende, corresponde verificar si al momento de la notificación se siguió el referido procedimiento.  </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 xml:space="preserve">En línea con lo anterior, de la revisión del reverso de la Carta Notarial N° 29-2010-SUNAT/2G3600, por la cual la Entidad comunicó al Contratista la resolución de la orden de compra, se puede advertir que el Notario Orlando Malca Pérez señaló que efectuó la notificación en una sola fecha, esto es el 13 de septiembre de 2010, dejando dicho documento </w:t>
      </w:r>
      <w:r w:rsidRPr="002D5A85">
        <w:rPr>
          <w:rFonts w:ascii="Tahoma" w:hAnsi="Tahoma" w:cs="Tahoma"/>
          <w:i/>
          <w:sz w:val="20"/>
        </w:rPr>
        <w:t>bajo puerta</w:t>
      </w:r>
      <w:r w:rsidRPr="002D5A85">
        <w:rPr>
          <w:rFonts w:ascii="Tahoma" w:hAnsi="Tahoma" w:cs="Tahoma"/>
          <w:sz w:val="20"/>
        </w:rPr>
        <w:t xml:space="preserve"> en esa misma oportunidad.</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Teniendo en consideración ello, debe destacarse que es criterio reiterado de este Colegiado qu</w:t>
      </w:r>
      <w:bookmarkStart w:id="0" w:name="_GoBack"/>
      <w:bookmarkEnd w:id="0"/>
      <w:r w:rsidRPr="002D5A85">
        <w:rPr>
          <w:rFonts w:ascii="Tahoma" w:hAnsi="Tahoma" w:cs="Tahoma"/>
          <w:sz w:val="20"/>
        </w:rPr>
        <w:t xml:space="preserve">e la inobservancia del procedimiento acarrea la exención de responsabilidad del Contratista, el cual ha sido recogido en innumerables acuerdos y resoluciones. De la misma manera, el Acuerdo de Sala Plena 006/009, de fecha 25 de junio de 2009, ha establecido que en los casos las Entidades no remitan la documentación necesaria para la tipificación de la infracción administrativa, se deberá declarar no ha lugar al inicio del procedimiento sancionador.  </w:t>
      </w:r>
    </w:p>
    <w:p w:rsidR="002D5A85" w:rsidRPr="002D5A85" w:rsidRDefault="002D5A85" w:rsidP="002D5A85">
      <w:pPr>
        <w:pStyle w:val="Prrafodelista"/>
        <w:rPr>
          <w:rFonts w:ascii="Tahoma" w:hAnsi="Tahoma" w:cs="Tahoma"/>
          <w:sz w:val="20"/>
        </w:rPr>
      </w:pPr>
    </w:p>
    <w:p w:rsidR="002D5A85" w:rsidRP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 xml:space="preserve">Teniendo en cuenta lo expuesto, puede verificarse que la Entidad no cumplió con notificar al Contratista de la resolución del Contrato, al verificarse que el Notario encargado del diligenciamiento no llevó a cabo este, no habiendo dado cumplimiento de lo dispuesto por el artículo 21 de la Ley № 27444 - Ley de Procedimiento Administrativo General. De este modo, considerando que el procedimiento de resolución de contrato es condición mínima para la configuración del supuesto de hecho establecido en el numeral b) del numeral 51.1 del artículo 51 de La Ley de Contrataciones del Estado, Decreto Legislativo Nº 1017, concordante con el numeral 1 literal b) del artículo 237 del Reglamento de la Ley de Contrataciones del Estado, Decreto Supremo Nº 184-2008-EF, esta Vocalía </w:t>
      </w:r>
      <w:r w:rsidRPr="002D5A85">
        <w:rPr>
          <w:rFonts w:ascii="Tahoma" w:eastAsia="MS Mincho" w:hAnsi="Tahoma" w:cs="Tahoma"/>
          <w:sz w:val="20"/>
        </w:rPr>
        <w:t xml:space="preserve">concluye que no procede imponer sanción administrativa al </w:t>
      </w:r>
      <w:r w:rsidRPr="002D5A85">
        <w:rPr>
          <w:rFonts w:ascii="Tahoma" w:hAnsi="Tahoma" w:cs="Tahoma"/>
          <w:sz w:val="20"/>
        </w:rPr>
        <w:t>señor LUIS GRIMALDO PEREZ MEDINA</w:t>
      </w:r>
      <w:r w:rsidRPr="002D5A85">
        <w:rPr>
          <w:rFonts w:ascii="Tahoma" w:eastAsia="MS Mincho" w:hAnsi="Tahoma" w:cs="Tahoma"/>
          <w:sz w:val="20"/>
        </w:rPr>
        <w:t>, sin perjuicio de las acciones que la Entidad pudiera adoptar en salvaguarda de sus derechos en la vía legal correspondiente.</w:t>
      </w:r>
    </w:p>
    <w:p w:rsidR="002D5A85" w:rsidRPr="002D5A85" w:rsidRDefault="002D5A85" w:rsidP="002D5A85">
      <w:pPr>
        <w:pStyle w:val="Prrafodelista"/>
        <w:widowControl/>
        <w:suppressAutoHyphens w:val="0"/>
        <w:ind w:left="567"/>
        <w:jc w:val="both"/>
        <w:rPr>
          <w:rFonts w:ascii="Tahoma" w:hAnsi="Tahoma" w:cs="Tahoma"/>
          <w:sz w:val="20"/>
        </w:rPr>
      </w:pPr>
    </w:p>
    <w:p w:rsidR="002D5A85" w:rsidRPr="002D5A85" w:rsidRDefault="002D5A85" w:rsidP="002D5A85">
      <w:pPr>
        <w:pStyle w:val="Prrafodelista"/>
        <w:widowControl/>
        <w:numPr>
          <w:ilvl w:val="0"/>
          <w:numId w:val="12"/>
        </w:numPr>
        <w:suppressAutoHyphens w:val="0"/>
        <w:ind w:left="567" w:hanging="567"/>
        <w:jc w:val="both"/>
        <w:rPr>
          <w:rFonts w:ascii="Tahoma" w:hAnsi="Tahoma" w:cs="Tahoma"/>
          <w:sz w:val="20"/>
        </w:rPr>
      </w:pPr>
      <w:r w:rsidRPr="002D5A85">
        <w:rPr>
          <w:rFonts w:ascii="Tahoma" w:hAnsi="Tahoma" w:cs="Tahoma"/>
          <w:sz w:val="20"/>
        </w:rPr>
        <w:t>En consideración de lo expuesto, el voto del suscrito es porque se declare lo siguiente:</w:t>
      </w:r>
    </w:p>
    <w:p w:rsidR="002D5A85" w:rsidRDefault="002D5A85" w:rsidP="002D5A85">
      <w:pPr>
        <w:pStyle w:val="Prrafodelista"/>
        <w:widowControl/>
        <w:suppressAutoHyphens w:val="0"/>
        <w:ind w:left="567"/>
        <w:jc w:val="both"/>
        <w:rPr>
          <w:rFonts w:ascii="Tahoma" w:hAnsi="Tahoma" w:cs="Tahoma"/>
          <w:sz w:val="20"/>
        </w:rPr>
      </w:pPr>
    </w:p>
    <w:p w:rsidR="002D5A85" w:rsidRPr="002D5A85" w:rsidRDefault="002D5A85" w:rsidP="002D5A85">
      <w:pPr>
        <w:pStyle w:val="Prrafodelista"/>
        <w:widowControl/>
        <w:suppressAutoHyphens w:val="0"/>
        <w:ind w:left="567"/>
        <w:jc w:val="both"/>
        <w:rPr>
          <w:rFonts w:ascii="Tahoma" w:hAnsi="Tahoma" w:cs="Tahoma"/>
          <w:sz w:val="20"/>
        </w:rPr>
      </w:pPr>
    </w:p>
    <w:p w:rsidR="002D5A85" w:rsidRPr="002D5A85" w:rsidRDefault="002D5A85" w:rsidP="002D5A85">
      <w:pPr>
        <w:pStyle w:val="Prrafodelista"/>
        <w:widowControl/>
        <w:numPr>
          <w:ilvl w:val="0"/>
          <w:numId w:val="13"/>
        </w:numPr>
        <w:tabs>
          <w:tab w:val="left" w:pos="0"/>
        </w:tabs>
        <w:suppressAutoHyphens w:val="0"/>
        <w:ind w:left="567" w:hanging="567"/>
        <w:jc w:val="both"/>
        <w:rPr>
          <w:rFonts w:ascii="Tahoma" w:hAnsi="Tahoma" w:cs="Tahoma"/>
          <w:sz w:val="20"/>
        </w:rPr>
      </w:pPr>
      <w:r w:rsidRPr="002D5A85">
        <w:rPr>
          <w:rFonts w:ascii="Tahoma" w:hAnsi="Tahoma" w:cs="Tahoma"/>
          <w:sz w:val="20"/>
          <w:lang w:val="es-PE"/>
        </w:rPr>
        <w:t xml:space="preserve">No ha lugar a la imposición de sanción administrativa al señor </w:t>
      </w:r>
      <w:r w:rsidRPr="002D5A85">
        <w:rPr>
          <w:rFonts w:ascii="Tahoma" w:hAnsi="Tahoma" w:cs="Tahoma"/>
          <w:sz w:val="20"/>
        </w:rPr>
        <w:t>LUIS GRIMALDO PEREZ MEDINA, por la comisión de la infracción tipificada en el numeral b) del numeral 51.1 del artículo 51 de La Ley de Contrataciones del Estado, Decreto Legislativo Nº 1017, concordante con el numeral 1 literal b) del artículo 237 del Reglamento de la Ley de Contrataciones del Estado, Decreto Supremo Nº 184-</w:t>
      </w:r>
      <w:r w:rsidRPr="002D5A85">
        <w:rPr>
          <w:rFonts w:ascii="Tahoma" w:hAnsi="Tahoma" w:cs="Tahoma"/>
          <w:sz w:val="20"/>
        </w:rPr>
        <w:lastRenderedPageBreak/>
        <w:t>2008-EF, por los fundamentos expuestos, por lo que se debe archivarse definitivamente el presente expediente.</w:t>
      </w:r>
    </w:p>
    <w:p w:rsidR="002D5A85" w:rsidRPr="002D5A85" w:rsidRDefault="002D5A85" w:rsidP="002D5A85">
      <w:pPr>
        <w:pStyle w:val="Textoindependiente"/>
        <w:tabs>
          <w:tab w:val="left" w:pos="2410"/>
        </w:tabs>
        <w:rPr>
          <w:rFonts w:ascii="Tahoma" w:hAnsi="Tahoma" w:cs="Tahoma"/>
          <w:sz w:val="20"/>
          <w:szCs w:val="20"/>
        </w:rPr>
      </w:pPr>
    </w:p>
    <w:p w:rsidR="002D5A85" w:rsidRPr="002D5A85" w:rsidRDefault="002D5A85" w:rsidP="002D5A85">
      <w:pPr>
        <w:pStyle w:val="Textoindependiente"/>
        <w:tabs>
          <w:tab w:val="left" w:pos="2410"/>
        </w:tabs>
        <w:rPr>
          <w:rFonts w:ascii="Tahoma" w:hAnsi="Tahoma" w:cs="Tahoma"/>
          <w:sz w:val="20"/>
          <w:szCs w:val="20"/>
        </w:rPr>
      </w:pPr>
    </w:p>
    <w:p w:rsidR="002D5A85" w:rsidRPr="002D5A85" w:rsidRDefault="002D5A85" w:rsidP="002D5A85">
      <w:pPr>
        <w:pStyle w:val="Textoindependiente"/>
        <w:tabs>
          <w:tab w:val="left" w:pos="2410"/>
        </w:tabs>
        <w:rPr>
          <w:rFonts w:ascii="Tahoma" w:hAnsi="Tahoma" w:cs="Tahoma"/>
          <w:sz w:val="20"/>
          <w:szCs w:val="20"/>
        </w:rPr>
      </w:pPr>
    </w:p>
    <w:p w:rsidR="002D5A85" w:rsidRPr="002D5A85" w:rsidRDefault="002D5A85" w:rsidP="002D5A85">
      <w:pPr>
        <w:pStyle w:val="Textoindependiente"/>
        <w:tabs>
          <w:tab w:val="left" w:pos="2410"/>
        </w:tabs>
        <w:rPr>
          <w:rFonts w:ascii="Tahoma" w:hAnsi="Tahoma" w:cs="Tahoma"/>
          <w:sz w:val="20"/>
          <w:szCs w:val="20"/>
        </w:rPr>
      </w:pPr>
    </w:p>
    <w:p w:rsidR="002D5A85" w:rsidRPr="002D5A85" w:rsidRDefault="002D5A85" w:rsidP="002D5A85">
      <w:pPr>
        <w:pStyle w:val="Textoindependiente"/>
        <w:tabs>
          <w:tab w:val="left" w:pos="2410"/>
        </w:tabs>
        <w:rPr>
          <w:rFonts w:ascii="Tahoma" w:hAnsi="Tahoma" w:cs="Tahoma"/>
          <w:sz w:val="20"/>
          <w:szCs w:val="20"/>
        </w:rPr>
      </w:pPr>
    </w:p>
    <w:p w:rsidR="002D5A85" w:rsidRPr="002D5A85" w:rsidRDefault="002D5A85" w:rsidP="002D5A85">
      <w:pPr>
        <w:pStyle w:val="Textoindependiente"/>
        <w:tabs>
          <w:tab w:val="left" w:pos="2410"/>
        </w:tabs>
        <w:rPr>
          <w:rFonts w:ascii="Tahoma" w:hAnsi="Tahoma" w:cs="Tahoma"/>
          <w:sz w:val="20"/>
          <w:szCs w:val="20"/>
        </w:rPr>
      </w:pPr>
    </w:p>
    <w:p w:rsidR="002D5A85" w:rsidRPr="002D5A85" w:rsidRDefault="002D5A85" w:rsidP="002D5A85">
      <w:pPr>
        <w:pStyle w:val="Textoindependiente"/>
        <w:tabs>
          <w:tab w:val="left" w:pos="2410"/>
        </w:tabs>
        <w:jc w:val="center"/>
        <w:rPr>
          <w:rFonts w:ascii="Tahoma" w:hAnsi="Tahoma" w:cs="Tahoma"/>
          <w:b/>
          <w:sz w:val="20"/>
          <w:szCs w:val="20"/>
        </w:rPr>
      </w:pPr>
      <w:r w:rsidRPr="002D5A85">
        <w:rPr>
          <w:rFonts w:ascii="Tahoma" w:hAnsi="Tahoma" w:cs="Tahoma"/>
          <w:b/>
          <w:sz w:val="20"/>
          <w:szCs w:val="20"/>
        </w:rPr>
        <w:t>VOCAL</w:t>
      </w:r>
    </w:p>
    <w:p w:rsidR="002D5A85" w:rsidRPr="00D15C40" w:rsidRDefault="002D5A85" w:rsidP="002D5A85">
      <w:pPr>
        <w:rPr>
          <w:rFonts w:ascii="Tahoma" w:hAnsi="Tahoma" w:cs="Tahoma"/>
        </w:rPr>
      </w:pPr>
    </w:p>
    <w:p w:rsidR="002D5A85" w:rsidRPr="0037427D" w:rsidRDefault="002D5A85" w:rsidP="000B581C">
      <w:pPr>
        <w:tabs>
          <w:tab w:val="num" w:pos="9720"/>
        </w:tabs>
        <w:spacing w:after="0" w:line="240" w:lineRule="auto"/>
        <w:jc w:val="both"/>
        <w:rPr>
          <w:rFonts w:ascii="Tahoma" w:hAnsi="Tahoma" w:cs="Tahoma"/>
          <w:sz w:val="20"/>
          <w:szCs w:val="20"/>
        </w:rPr>
      </w:pPr>
    </w:p>
    <w:p w:rsidR="000B581C" w:rsidRPr="00324E38" w:rsidRDefault="000B581C" w:rsidP="000B581C">
      <w:pPr>
        <w:spacing w:after="0" w:line="240" w:lineRule="auto"/>
        <w:jc w:val="both"/>
        <w:rPr>
          <w:rFonts w:ascii="Tahoma" w:hAnsi="Tahoma" w:cs="Tahoma"/>
          <w:sz w:val="20"/>
          <w:szCs w:val="20"/>
        </w:rPr>
      </w:pPr>
    </w:p>
    <w:p w:rsidR="000B581C" w:rsidRDefault="000B581C" w:rsidP="000B581C"/>
    <w:p w:rsidR="000B581C" w:rsidRDefault="000B581C" w:rsidP="000B581C"/>
    <w:p w:rsidR="00AE2C8B" w:rsidRDefault="00AE2C8B"/>
    <w:sectPr w:rsidR="00AE2C8B" w:rsidSect="009A3D7B">
      <w:headerReference w:type="default" r:id="rId7"/>
      <w:footerReference w:type="default" r:id="rId8"/>
      <w:pgSz w:w="11906" w:h="16838"/>
      <w:pgMar w:top="3261" w:right="1985" w:bottom="1977"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3D7B" w:rsidRDefault="009A3D7B" w:rsidP="000B581C">
      <w:pPr>
        <w:spacing w:after="0" w:line="240" w:lineRule="auto"/>
      </w:pPr>
      <w:r>
        <w:separator/>
      </w:r>
    </w:p>
  </w:endnote>
  <w:endnote w:type="continuationSeparator" w:id="1">
    <w:p w:rsidR="009A3D7B" w:rsidRDefault="009A3D7B" w:rsidP="000B58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D7B" w:rsidRPr="00FD5A0C" w:rsidRDefault="009A3D7B">
    <w:pPr>
      <w:pStyle w:val="Piedepgina"/>
      <w:jc w:val="center"/>
      <w:rPr>
        <w:rFonts w:ascii="Tahoma" w:hAnsi="Tahoma" w:cs="Tahoma"/>
        <w:i/>
        <w:sz w:val="18"/>
        <w:szCs w:val="18"/>
      </w:rPr>
    </w:pPr>
    <w:r w:rsidRPr="00FD5A0C">
      <w:rPr>
        <w:rFonts w:ascii="Tahoma" w:hAnsi="Tahoma" w:cs="Tahoma"/>
        <w:i/>
        <w:sz w:val="18"/>
        <w:szCs w:val="18"/>
      </w:rPr>
      <w:t xml:space="preserve">Página </w:t>
    </w:r>
    <w:r w:rsidR="00262083" w:rsidRPr="00FD5A0C">
      <w:rPr>
        <w:rFonts w:ascii="Tahoma" w:hAnsi="Tahoma" w:cs="Tahoma"/>
        <w:i/>
        <w:sz w:val="18"/>
        <w:szCs w:val="18"/>
      </w:rPr>
      <w:fldChar w:fldCharType="begin"/>
    </w:r>
    <w:r w:rsidRPr="00FD5A0C">
      <w:rPr>
        <w:rFonts w:ascii="Tahoma" w:hAnsi="Tahoma" w:cs="Tahoma"/>
        <w:i/>
        <w:sz w:val="18"/>
        <w:szCs w:val="18"/>
      </w:rPr>
      <w:instrText>PAGE</w:instrText>
    </w:r>
    <w:r w:rsidR="00262083" w:rsidRPr="00FD5A0C">
      <w:rPr>
        <w:rFonts w:ascii="Tahoma" w:hAnsi="Tahoma" w:cs="Tahoma"/>
        <w:i/>
        <w:sz w:val="18"/>
        <w:szCs w:val="18"/>
      </w:rPr>
      <w:fldChar w:fldCharType="separate"/>
    </w:r>
    <w:r w:rsidR="00014579">
      <w:rPr>
        <w:rFonts w:ascii="Tahoma" w:hAnsi="Tahoma" w:cs="Tahoma"/>
        <w:i/>
        <w:noProof/>
        <w:sz w:val="18"/>
        <w:szCs w:val="18"/>
      </w:rPr>
      <w:t>1</w:t>
    </w:r>
    <w:r w:rsidR="00262083" w:rsidRPr="00FD5A0C">
      <w:rPr>
        <w:rFonts w:ascii="Tahoma" w:hAnsi="Tahoma" w:cs="Tahoma"/>
        <w:i/>
        <w:sz w:val="18"/>
        <w:szCs w:val="18"/>
      </w:rPr>
      <w:fldChar w:fldCharType="end"/>
    </w:r>
    <w:r w:rsidRPr="00FD5A0C">
      <w:rPr>
        <w:rFonts w:ascii="Tahoma" w:hAnsi="Tahoma" w:cs="Tahoma"/>
        <w:i/>
        <w:sz w:val="18"/>
        <w:szCs w:val="18"/>
      </w:rPr>
      <w:t xml:space="preserve"> de </w:t>
    </w:r>
    <w:r w:rsidR="00262083" w:rsidRPr="00FD5A0C">
      <w:rPr>
        <w:rFonts w:ascii="Tahoma" w:hAnsi="Tahoma" w:cs="Tahoma"/>
        <w:i/>
        <w:sz w:val="18"/>
        <w:szCs w:val="18"/>
      </w:rPr>
      <w:fldChar w:fldCharType="begin"/>
    </w:r>
    <w:r w:rsidRPr="00FD5A0C">
      <w:rPr>
        <w:rFonts w:ascii="Tahoma" w:hAnsi="Tahoma" w:cs="Tahoma"/>
        <w:i/>
        <w:sz w:val="18"/>
        <w:szCs w:val="18"/>
      </w:rPr>
      <w:instrText>NUMPAGES</w:instrText>
    </w:r>
    <w:r w:rsidR="00262083" w:rsidRPr="00FD5A0C">
      <w:rPr>
        <w:rFonts w:ascii="Tahoma" w:hAnsi="Tahoma" w:cs="Tahoma"/>
        <w:i/>
        <w:sz w:val="18"/>
        <w:szCs w:val="18"/>
      </w:rPr>
      <w:fldChar w:fldCharType="separate"/>
    </w:r>
    <w:r w:rsidR="00014579">
      <w:rPr>
        <w:rFonts w:ascii="Tahoma" w:hAnsi="Tahoma" w:cs="Tahoma"/>
        <w:i/>
        <w:noProof/>
        <w:sz w:val="18"/>
        <w:szCs w:val="18"/>
      </w:rPr>
      <w:t>13</w:t>
    </w:r>
    <w:r w:rsidR="00262083" w:rsidRPr="00FD5A0C">
      <w:rPr>
        <w:rFonts w:ascii="Tahoma" w:hAnsi="Tahoma" w:cs="Tahoma"/>
        <w:i/>
        <w:sz w:val="18"/>
        <w:szCs w:val="18"/>
      </w:rPr>
      <w:fldChar w:fldCharType="end"/>
    </w:r>
  </w:p>
  <w:p w:rsidR="009A3D7B" w:rsidRDefault="009A3D7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3D7B" w:rsidRDefault="009A3D7B" w:rsidP="000B581C">
      <w:pPr>
        <w:spacing w:after="0" w:line="240" w:lineRule="auto"/>
      </w:pPr>
      <w:r>
        <w:separator/>
      </w:r>
    </w:p>
  </w:footnote>
  <w:footnote w:type="continuationSeparator" w:id="1">
    <w:p w:rsidR="009A3D7B" w:rsidRDefault="009A3D7B" w:rsidP="000B581C">
      <w:pPr>
        <w:spacing w:after="0" w:line="240" w:lineRule="auto"/>
      </w:pPr>
      <w:r>
        <w:continuationSeparator/>
      </w:r>
    </w:p>
  </w:footnote>
  <w:footnote w:id="2">
    <w:p w:rsidR="009A3D7B" w:rsidRPr="0041175B" w:rsidRDefault="009A3D7B" w:rsidP="002D5A85">
      <w:pPr>
        <w:pStyle w:val="Textonotapie"/>
        <w:jc w:val="both"/>
        <w:rPr>
          <w:rFonts w:ascii="Tahoma" w:hAnsi="Tahoma" w:cs="Tahoma"/>
          <w:i/>
          <w:sz w:val="18"/>
          <w:szCs w:val="18"/>
        </w:rPr>
      </w:pPr>
      <w:r w:rsidRPr="0041175B">
        <w:rPr>
          <w:rStyle w:val="Refdenotaalpie"/>
          <w:rFonts w:ascii="Tahoma" w:hAnsi="Tahoma" w:cs="Tahoma"/>
          <w:sz w:val="18"/>
          <w:szCs w:val="18"/>
        </w:rPr>
        <w:footnoteRef/>
      </w:r>
      <w:r w:rsidRPr="0041175B">
        <w:rPr>
          <w:rFonts w:ascii="Tahoma" w:hAnsi="Tahoma" w:cs="Tahoma"/>
          <w:sz w:val="18"/>
          <w:szCs w:val="18"/>
        </w:rPr>
        <w:t xml:space="preserve"> “</w:t>
      </w:r>
      <w:r>
        <w:rPr>
          <w:rFonts w:ascii="Tahoma" w:hAnsi="Tahoma" w:cs="Tahoma"/>
          <w:b/>
          <w:i/>
          <w:sz w:val="18"/>
          <w:szCs w:val="18"/>
        </w:rPr>
        <w:t>Artículo 168</w:t>
      </w:r>
      <w:r w:rsidRPr="0041175B">
        <w:rPr>
          <w:rFonts w:ascii="Tahoma" w:hAnsi="Tahoma" w:cs="Tahoma"/>
          <w:b/>
          <w:i/>
          <w:sz w:val="18"/>
          <w:szCs w:val="18"/>
        </w:rPr>
        <w:t>.-</w:t>
      </w:r>
      <w:r w:rsidRPr="0041175B">
        <w:rPr>
          <w:rFonts w:ascii="Tahoma" w:hAnsi="Tahoma" w:cs="Tahoma"/>
          <w:i/>
          <w:sz w:val="18"/>
          <w:szCs w:val="18"/>
        </w:rPr>
        <w:t xml:space="preserve"> </w:t>
      </w:r>
    </w:p>
    <w:p w:rsidR="009A3D7B" w:rsidRDefault="009A3D7B" w:rsidP="002D5A85">
      <w:pPr>
        <w:pStyle w:val="Textonotapie"/>
        <w:jc w:val="both"/>
        <w:rPr>
          <w:rFonts w:ascii="Tahoma" w:hAnsi="Tahoma" w:cs="Tahoma"/>
          <w:i/>
          <w:sz w:val="18"/>
          <w:szCs w:val="18"/>
        </w:rPr>
      </w:pPr>
      <w:r>
        <w:rPr>
          <w:rFonts w:ascii="Tahoma" w:hAnsi="Tahoma" w:cs="Tahoma"/>
          <w:i/>
          <w:sz w:val="18"/>
          <w:szCs w:val="18"/>
        </w:rPr>
        <w:t>La Entidad podrá resolver el contrato de conformidad con el inciso c) del artículo 40 de la Ley, en los casos en que el contratista:</w:t>
      </w:r>
    </w:p>
    <w:p w:rsidR="009A3D7B" w:rsidRPr="0041175B" w:rsidRDefault="009A3D7B" w:rsidP="002D5A85">
      <w:pPr>
        <w:pStyle w:val="Textonotapie"/>
        <w:jc w:val="both"/>
        <w:rPr>
          <w:rFonts w:ascii="Tahoma" w:hAnsi="Tahoma" w:cs="Tahoma"/>
          <w:i/>
          <w:sz w:val="18"/>
          <w:szCs w:val="18"/>
        </w:rPr>
      </w:pPr>
      <w:r w:rsidRPr="0041175B">
        <w:rPr>
          <w:rFonts w:ascii="Tahoma" w:hAnsi="Tahoma" w:cs="Tahoma"/>
          <w:i/>
          <w:sz w:val="18"/>
          <w:szCs w:val="18"/>
        </w:rPr>
        <w:t>(…)</w:t>
      </w:r>
    </w:p>
    <w:p w:rsidR="009A3D7B" w:rsidRPr="0041175B" w:rsidRDefault="009A3D7B" w:rsidP="002D5A85">
      <w:pPr>
        <w:pStyle w:val="Textonotapie"/>
        <w:jc w:val="both"/>
        <w:rPr>
          <w:rFonts w:ascii="Tahoma" w:hAnsi="Tahoma" w:cs="Tahoma"/>
          <w:i/>
          <w:sz w:val="18"/>
          <w:szCs w:val="18"/>
        </w:rPr>
      </w:pPr>
      <w:r>
        <w:rPr>
          <w:rFonts w:ascii="Tahoma" w:hAnsi="Tahoma" w:cs="Tahoma"/>
          <w:i/>
          <w:sz w:val="18"/>
          <w:szCs w:val="18"/>
        </w:rPr>
        <w:t>2</w:t>
      </w:r>
      <w:r w:rsidRPr="0041175B">
        <w:rPr>
          <w:rFonts w:ascii="Tahoma" w:hAnsi="Tahoma" w:cs="Tahoma"/>
          <w:i/>
          <w:sz w:val="18"/>
          <w:szCs w:val="18"/>
        </w:rPr>
        <w:t xml:space="preserve">) </w:t>
      </w:r>
      <w:r>
        <w:rPr>
          <w:rFonts w:ascii="Tahoma" w:hAnsi="Tahoma" w:cs="Tahoma"/>
          <w:i/>
          <w:sz w:val="18"/>
          <w:szCs w:val="18"/>
        </w:rPr>
        <w:t xml:space="preserve">Haya llegado a acumular el monto máximo de la penalidad por mora o el monto máximo por otras penalidades, en la ejecución de la prestación a su cargo; </w:t>
      </w:r>
      <w:r w:rsidRPr="0041175B">
        <w:rPr>
          <w:rFonts w:ascii="Tahoma" w:hAnsi="Tahoma" w:cs="Tahoma"/>
          <w:i/>
          <w:sz w:val="18"/>
          <w:szCs w:val="18"/>
        </w:rPr>
        <w:t xml:space="preserve"> (…)”.</w:t>
      </w:r>
    </w:p>
    <w:p w:rsidR="009A3D7B" w:rsidRPr="0041175B" w:rsidRDefault="009A3D7B" w:rsidP="002D5A85">
      <w:pPr>
        <w:pStyle w:val="Textonotapie"/>
        <w:jc w:val="both"/>
        <w:rPr>
          <w:rFonts w:ascii="Tahoma" w:hAnsi="Tahoma" w:cs="Tahoma"/>
          <w:sz w:val="18"/>
          <w:szCs w:val="18"/>
        </w:rPr>
      </w:pPr>
    </w:p>
  </w:footnote>
  <w:footnote w:id="3">
    <w:p w:rsidR="009A3D7B" w:rsidRDefault="009A3D7B" w:rsidP="002D5A85">
      <w:pPr>
        <w:pStyle w:val="Textonotapie"/>
        <w:jc w:val="both"/>
        <w:rPr>
          <w:rFonts w:ascii="Tahoma" w:hAnsi="Tahoma" w:cs="Tahoma"/>
          <w:i/>
          <w:sz w:val="18"/>
          <w:szCs w:val="18"/>
        </w:rPr>
      </w:pPr>
      <w:r w:rsidRPr="0041175B">
        <w:rPr>
          <w:rStyle w:val="Refdenotaalpie"/>
          <w:rFonts w:ascii="Tahoma" w:hAnsi="Tahoma" w:cs="Tahoma"/>
          <w:sz w:val="18"/>
          <w:szCs w:val="18"/>
        </w:rPr>
        <w:footnoteRef/>
      </w:r>
      <w:r w:rsidRPr="0041175B">
        <w:rPr>
          <w:rFonts w:ascii="Tahoma" w:hAnsi="Tahoma" w:cs="Tahoma"/>
          <w:sz w:val="18"/>
          <w:szCs w:val="18"/>
        </w:rPr>
        <w:t xml:space="preserve"> “</w:t>
      </w:r>
      <w:r>
        <w:rPr>
          <w:rFonts w:ascii="Tahoma" w:hAnsi="Tahoma" w:cs="Tahoma"/>
          <w:b/>
          <w:i/>
          <w:sz w:val="18"/>
          <w:szCs w:val="18"/>
        </w:rPr>
        <w:t>Artículo 169</w:t>
      </w:r>
      <w:r w:rsidRPr="0041175B">
        <w:rPr>
          <w:rFonts w:ascii="Tahoma" w:hAnsi="Tahoma" w:cs="Tahoma"/>
          <w:b/>
          <w:i/>
          <w:sz w:val="18"/>
          <w:szCs w:val="18"/>
        </w:rPr>
        <w:t>.- Procedimiento de resolución de contrato.-</w:t>
      </w:r>
    </w:p>
    <w:p w:rsidR="009A3D7B" w:rsidRDefault="009A3D7B" w:rsidP="002D5A85">
      <w:pPr>
        <w:pStyle w:val="Textonotapie"/>
        <w:jc w:val="both"/>
        <w:rPr>
          <w:rFonts w:ascii="Tahoma" w:hAnsi="Tahoma" w:cs="Tahoma"/>
          <w:i/>
          <w:sz w:val="18"/>
          <w:szCs w:val="18"/>
        </w:rPr>
      </w:pPr>
      <w:r>
        <w:rPr>
          <w:rFonts w:ascii="Tahoma" w:hAnsi="Tahoma" w:cs="Tahoma"/>
          <w:i/>
          <w:sz w:val="18"/>
          <w:szCs w:val="18"/>
        </w:rPr>
        <w:t xml:space="preserve">(…) </w:t>
      </w:r>
    </w:p>
    <w:p w:rsidR="009A3D7B" w:rsidRDefault="009A3D7B" w:rsidP="002D5A85">
      <w:pPr>
        <w:pStyle w:val="Textonotapie"/>
        <w:jc w:val="both"/>
        <w:rPr>
          <w:rFonts w:ascii="Tahoma" w:hAnsi="Tahoma" w:cs="Tahoma"/>
          <w:i/>
          <w:sz w:val="18"/>
          <w:szCs w:val="18"/>
        </w:rPr>
      </w:pPr>
      <w:r>
        <w:rPr>
          <w:rFonts w:ascii="Tahoma" w:hAnsi="Tahoma" w:cs="Tahoma"/>
          <w:i/>
          <w:sz w:val="18"/>
          <w:szCs w:val="18"/>
        </w:rPr>
        <w:t xml:space="preserve">No será necesario efectuar un requerimiento previo cuando la resolución del contrato se deba a la acumulación por monto máximo de penalidad por mora, o por otras penalidades, o cuando la situación de incumplimiento no pueda ser revertida. En este caso, bastará comunicar al contratista mediante carta notarial la decisión de resolver el contrato.   </w:t>
      </w:r>
    </w:p>
    <w:p w:rsidR="009A3D7B" w:rsidRPr="0041175B" w:rsidRDefault="009A3D7B" w:rsidP="002D5A85">
      <w:pPr>
        <w:pStyle w:val="Textonotapie"/>
        <w:jc w:val="both"/>
        <w:rPr>
          <w:rFonts w:ascii="Tahoma" w:hAnsi="Tahoma" w:cs="Tahoma"/>
          <w:i/>
          <w:sz w:val="18"/>
          <w:szCs w:val="18"/>
        </w:rPr>
      </w:pPr>
      <w:r w:rsidRPr="0041175B">
        <w:rPr>
          <w:rFonts w:ascii="Tahoma" w:hAnsi="Tahoma" w:cs="Tahoma"/>
          <w:i/>
          <w:sz w:val="18"/>
          <w:szCs w:val="18"/>
        </w:rPr>
        <w:t xml:space="preserve"> (…)”.</w:t>
      </w:r>
    </w:p>
    <w:p w:rsidR="009A3D7B" w:rsidRPr="0041175B" w:rsidRDefault="009A3D7B" w:rsidP="002D5A85">
      <w:pPr>
        <w:pStyle w:val="Textonotapie"/>
        <w:jc w:val="both"/>
        <w:rPr>
          <w:rFonts w:ascii="Tahoma" w:hAnsi="Tahoma" w:cs="Tahoma"/>
          <w:i/>
          <w:sz w:val="18"/>
          <w:szCs w:val="18"/>
        </w:rPr>
      </w:pPr>
    </w:p>
  </w:footnote>
  <w:footnote w:id="4">
    <w:p w:rsidR="009A3D7B" w:rsidRDefault="009A3D7B" w:rsidP="002D5A85">
      <w:pPr>
        <w:pStyle w:val="Textonotapie"/>
        <w:jc w:val="both"/>
        <w:rPr>
          <w:rFonts w:ascii="Tahoma" w:hAnsi="Tahoma" w:cs="Tahoma"/>
          <w:sz w:val="18"/>
          <w:szCs w:val="18"/>
        </w:rPr>
      </w:pPr>
      <w:r>
        <w:rPr>
          <w:rStyle w:val="Refdenotaalpie"/>
          <w:rFonts w:ascii="Tahoma" w:hAnsi="Tahoma" w:cs="Tahoma"/>
          <w:sz w:val="18"/>
          <w:szCs w:val="18"/>
        </w:rPr>
        <w:footnoteRef/>
      </w:r>
      <w:r>
        <w:rPr>
          <w:rFonts w:ascii="Tahoma" w:hAnsi="Tahoma" w:cs="Tahoma"/>
          <w:sz w:val="18"/>
          <w:szCs w:val="18"/>
        </w:rPr>
        <w:t xml:space="preserve"> </w:t>
      </w:r>
      <w:r w:rsidRPr="00AB1B40">
        <w:rPr>
          <w:rFonts w:ascii="Tahoma" w:hAnsi="Tahoma" w:cs="Tahoma"/>
          <w:b/>
          <w:sz w:val="18"/>
          <w:szCs w:val="18"/>
        </w:rPr>
        <w:t>Artículo 1329.-</w:t>
      </w:r>
      <w:r>
        <w:rPr>
          <w:rFonts w:ascii="Tahoma" w:hAnsi="Tahoma" w:cs="Tahoma"/>
          <w:sz w:val="18"/>
          <w:szCs w:val="18"/>
        </w:rPr>
        <w:t xml:space="preserve"> Se presume que la inejecución de la obligación o su cumplimiento parcial, tardío o defectuoso obedece a culpa leve del deudor.</w:t>
      </w:r>
    </w:p>
    <w:p w:rsidR="009A3D7B" w:rsidRDefault="009A3D7B" w:rsidP="002D5A85">
      <w:pPr>
        <w:pStyle w:val="Textonotapie"/>
        <w:jc w:val="both"/>
        <w:rPr>
          <w:rFonts w:ascii="Tahoma" w:hAnsi="Tahoma" w:cs="Tahoma"/>
          <w:sz w:val="18"/>
          <w:szCs w:val="18"/>
        </w:rPr>
      </w:pPr>
    </w:p>
  </w:footnote>
  <w:footnote w:id="5">
    <w:p w:rsidR="009A3D7B" w:rsidRPr="002B1AB9" w:rsidRDefault="009A3D7B" w:rsidP="002D5A85">
      <w:pPr>
        <w:pStyle w:val="Textonotapie"/>
        <w:rPr>
          <w:rFonts w:ascii="Tahoma" w:hAnsi="Tahoma" w:cs="Tahoma"/>
          <w:b/>
          <w:sz w:val="18"/>
          <w:szCs w:val="18"/>
          <w:lang w:val="es-ES_tradnl"/>
        </w:rPr>
      </w:pPr>
      <w:r w:rsidRPr="002B1AB9">
        <w:rPr>
          <w:rStyle w:val="Refdenotaalpie"/>
          <w:rFonts w:ascii="Tahoma" w:hAnsi="Tahoma" w:cs="Tahoma"/>
          <w:sz w:val="18"/>
          <w:szCs w:val="18"/>
        </w:rPr>
        <w:footnoteRef/>
      </w:r>
      <w:r w:rsidRPr="002B1AB9">
        <w:rPr>
          <w:rFonts w:ascii="Tahoma" w:hAnsi="Tahoma" w:cs="Tahoma"/>
          <w:b/>
          <w:sz w:val="18"/>
          <w:szCs w:val="18"/>
        </w:rPr>
        <w:t xml:space="preserve"> </w:t>
      </w:r>
      <w:r>
        <w:rPr>
          <w:rFonts w:ascii="Tahoma" w:hAnsi="Tahoma" w:cs="Tahoma"/>
          <w:b/>
          <w:sz w:val="18"/>
          <w:szCs w:val="18"/>
          <w:lang w:val="es-ES_tradnl"/>
        </w:rPr>
        <w:t>Artículo 245</w:t>
      </w:r>
      <w:r w:rsidRPr="002B1AB9">
        <w:rPr>
          <w:rFonts w:ascii="Tahoma" w:hAnsi="Tahoma" w:cs="Tahoma"/>
          <w:b/>
          <w:sz w:val="18"/>
          <w:szCs w:val="18"/>
          <w:lang w:val="es-ES_tradnl"/>
        </w:rPr>
        <w:t>.- Determinación gradual de la sanción.-</w:t>
      </w:r>
    </w:p>
    <w:p w:rsidR="009A3D7B" w:rsidRPr="002B1AB9" w:rsidRDefault="009A3D7B" w:rsidP="002D5A85">
      <w:pPr>
        <w:pStyle w:val="Textonotapie"/>
        <w:rPr>
          <w:rFonts w:ascii="Tahoma" w:hAnsi="Tahoma" w:cs="Tahoma"/>
          <w:sz w:val="18"/>
          <w:szCs w:val="18"/>
          <w:lang w:val="es-ES_tradnl"/>
        </w:rPr>
      </w:pPr>
      <w:r w:rsidRPr="002B1AB9">
        <w:rPr>
          <w:rFonts w:ascii="Tahoma" w:hAnsi="Tahoma" w:cs="Tahoma"/>
          <w:sz w:val="18"/>
          <w:szCs w:val="18"/>
          <w:lang w:val="es-ES_tradnl"/>
        </w:rPr>
        <w:t xml:space="preserve">Para graduar la sanción </w:t>
      </w:r>
      <w:r>
        <w:rPr>
          <w:rFonts w:ascii="Tahoma" w:hAnsi="Tahoma" w:cs="Tahoma"/>
          <w:sz w:val="18"/>
          <w:szCs w:val="18"/>
          <w:lang w:val="es-ES_tradnl"/>
        </w:rPr>
        <w:t xml:space="preserve">de inhabilitación temporal </w:t>
      </w:r>
      <w:r w:rsidRPr="002B1AB9">
        <w:rPr>
          <w:rFonts w:ascii="Tahoma" w:hAnsi="Tahoma" w:cs="Tahoma"/>
          <w:sz w:val="18"/>
          <w:szCs w:val="18"/>
          <w:lang w:val="es-ES_tradnl"/>
        </w:rPr>
        <w:t>a imponerse</w:t>
      </w:r>
      <w:r>
        <w:rPr>
          <w:rFonts w:ascii="Tahoma" w:hAnsi="Tahoma" w:cs="Tahoma"/>
          <w:sz w:val="18"/>
          <w:szCs w:val="18"/>
          <w:lang w:val="es-ES_tradnl"/>
        </w:rPr>
        <w:t>,</w:t>
      </w:r>
      <w:r w:rsidRPr="002B1AB9">
        <w:rPr>
          <w:rFonts w:ascii="Tahoma" w:hAnsi="Tahoma" w:cs="Tahoma"/>
          <w:sz w:val="18"/>
          <w:szCs w:val="18"/>
          <w:lang w:val="es-ES_tradnl"/>
        </w:rPr>
        <w:t xml:space="preserve"> conforme a las disposiciones del presente Título, </w:t>
      </w:r>
      <w:r>
        <w:rPr>
          <w:rFonts w:ascii="Tahoma" w:hAnsi="Tahoma" w:cs="Tahoma"/>
          <w:sz w:val="18"/>
          <w:szCs w:val="18"/>
          <w:lang w:val="es-ES_tradnl"/>
        </w:rPr>
        <w:t xml:space="preserve">el Tribunal considerará </w:t>
      </w:r>
      <w:r w:rsidRPr="002B1AB9">
        <w:rPr>
          <w:rFonts w:ascii="Tahoma" w:hAnsi="Tahoma" w:cs="Tahoma"/>
          <w:sz w:val="18"/>
          <w:szCs w:val="18"/>
          <w:lang w:val="es-ES_tradnl"/>
        </w:rPr>
        <w:t>los siguientes criterios:</w:t>
      </w:r>
    </w:p>
    <w:p w:rsidR="009A3D7B" w:rsidRPr="002B1AB9" w:rsidRDefault="009A3D7B" w:rsidP="002D5A85">
      <w:pPr>
        <w:pStyle w:val="Textonotapie"/>
        <w:numPr>
          <w:ilvl w:val="0"/>
          <w:numId w:val="9"/>
        </w:numPr>
        <w:tabs>
          <w:tab w:val="clear" w:pos="720"/>
          <w:tab w:val="num" w:pos="284"/>
        </w:tabs>
        <w:ind w:left="0" w:firstLine="0"/>
        <w:rPr>
          <w:rFonts w:ascii="Tahoma" w:hAnsi="Tahoma" w:cs="Tahoma"/>
          <w:sz w:val="18"/>
          <w:szCs w:val="18"/>
          <w:lang w:val="es-ES_tradnl"/>
        </w:rPr>
      </w:pPr>
      <w:r w:rsidRPr="002B1AB9">
        <w:rPr>
          <w:rFonts w:ascii="Tahoma" w:hAnsi="Tahoma" w:cs="Tahoma"/>
          <w:sz w:val="18"/>
          <w:szCs w:val="18"/>
          <w:lang w:val="es-ES_tradnl"/>
        </w:rPr>
        <w:t>Naturaleza de la infracción.</w:t>
      </w:r>
    </w:p>
    <w:p w:rsidR="009A3D7B" w:rsidRPr="002B1AB9" w:rsidRDefault="009A3D7B" w:rsidP="002D5A85">
      <w:pPr>
        <w:pStyle w:val="Textonotapie"/>
        <w:numPr>
          <w:ilvl w:val="0"/>
          <w:numId w:val="9"/>
        </w:numPr>
        <w:tabs>
          <w:tab w:val="clear" w:pos="720"/>
          <w:tab w:val="num" w:pos="284"/>
        </w:tabs>
        <w:ind w:left="0" w:firstLine="0"/>
        <w:rPr>
          <w:rFonts w:ascii="Tahoma" w:hAnsi="Tahoma" w:cs="Tahoma"/>
          <w:sz w:val="18"/>
          <w:szCs w:val="18"/>
          <w:lang w:val="es-ES_tradnl"/>
        </w:rPr>
      </w:pPr>
      <w:r w:rsidRPr="002B1AB9">
        <w:rPr>
          <w:rFonts w:ascii="Tahoma" w:hAnsi="Tahoma" w:cs="Tahoma"/>
          <w:sz w:val="18"/>
          <w:szCs w:val="18"/>
          <w:lang w:val="es-ES_tradnl"/>
        </w:rPr>
        <w:t>Intencionalidad del infractor.</w:t>
      </w:r>
    </w:p>
    <w:p w:rsidR="009A3D7B" w:rsidRPr="002B1AB9" w:rsidRDefault="009A3D7B" w:rsidP="002D5A85">
      <w:pPr>
        <w:pStyle w:val="Textonotapie"/>
        <w:numPr>
          <w:ilvl w:val="0"/>
          <w:numId w:val="9"/>
        </w:numPr>
        <w:tabs>
          <w:tab w:val="clear" w:pos="720"/>
          <w:tab w:val="num" w:pos="284"/>
        </w:tabs>
        <w:ind w:left="0" w:firstLine="0"/>
        <w:rPr>
          <w:rFonts w:ascii="Tahoma" w:hAnsi="Tahoma" w:cs="Tahoma"/>
          <w:sz w:val="18"/>
          <w:szCs w:val="18"/>
          <w:lang w:val="es-ES_tradnl"/>
        </w:rPr>
      </w:pPr>
      <w:r w:rsidRPr="002B1AB9">
        <w:rPr>
          <w:rFonts w:ascii="Tahoma" w:hAnsi="Tahoma" w:cs="Tahoma"/>
          <w:sz w:val="18"/>
          <w:szCs w:val="18"/>
          <w:lang w:val="es-ES_tradnl"/>
        </w:rPr>
        <w:t>Daño causado.</w:t>
      </w:r>
    </w:p>
    <w:p w:rsidR="009A3D7B" w:rsidRPr="002B1AB9" w:rsidRDefault="009A3D7B" w:rsidP="002D5A85">
      <w:pPr>
        <w:pStyle w:val="Textonotapie"/>
        <w:numPr>
          <w:ilvl w:val="0"/>
          <w:numId w:val="9"/>
        </w:numPr>
        <w:tabs>
          <w:tab w:val="clear" w:pos="720"/>
          <w:tab w:val="num" w:pos="284"/>
        </w:tabs>
        <w:ind w:left="0" w:firstLine="0"/>
        <w:rPr>
          <w:rFonts w:ascii="Tahoma" w:hAnsi="Tahoma" w:cs="Tahoma"/>
          <w:sz w:val="18"/>
          <w:szCs w:val="18"/>
          <w:lang w:val="es-ES_tradnl"/>
        </w:rPr>
      </w:pPr>
      <w:proofErr w:type="spellStart"/>
      <w:r w:rsidRPr="002B1AB9">
        <w:rPr>
          <w:rFonts w:ascii="Tahoma" w:hAnsi="Tahoma" w:cs="Tahoma"/>
          <w:sz w:val="18"/>
          <w:szCs w:val="18"/>
          <w:lang w:val="es-ES_tradnl"/>
        </w:rPr>
        <w:t>Reiterancia</w:t>
      </w:r>
      <w:proofErr w:type="spellEnd"/>
      <w:r w:rsidRPr="002B1AB9">
        <w:rPr>
          <w:rFonts w:ascii="Tahoma" w:hAnsi="Tahoma" w:cs="Tahoma"/>
          <w:sz w:val="18"/>
          <w:szCs w:val="18"/>
          <w:lang w:val="es-ES_tradnl"/>
        </w:rPr>
        <w:t>.</w:t>
      </w:r>
    </w:p>
    <w:p w:rsidR="009A3D7B" w:rsidRPr="002B1AB9" w:rsidRDefault="009A3D7B" w:rsidP="002D5A85">
      <w:pPr>
        <w:pStyle w:val="Textonotapie"/>
        <w:numPr>
          <w:ilvl w:val="0"/>
          <w:numId w:val="9"/>
        </w:numPr>
        <w:tabs>
          <w:tab w:val="clear" w:pos="720"/>
          <w:tab w:val="num" w:pos="284"/>
        </w:tabs>
        <w:ind w:left="0" w:firstLine="0"/>
        <w:rPr>
          <w:rFonts w:ascii="Tahoma" w:hAnsi="Tahoma" w:cs="Tahoma"/>
          <w:sz w:val="18"/>
          <w:szCs w:val="18"/>
          <w:lang w:val="es-ES_tradnl"/>
        </w:rPr>
      </w:pPr>
      <w:r w:rsidRPr="002B1AB9">
        <w:rPr>
          <w:rFonts w:ascii="Tahoma" w:hAnsi="Tahoma" w:cs="Tahoma"/>
          <w:sz w:val="18"/>
          <w:szCs w:val="18"/>
          <w:lang w:val="es-ES_tradnl"/>
        </w:rPr>
        <w:t>El reconocimiento de la infracción cometida antes de que sea detectada.</w:t>
      </w:r>
    </w:p>
    <w:p w:rsidR="009A3D7B" w:rsidRPr="002B1AB9" w:rsidRDefault="009A3D7B" w:rsidP="002D5A85">
      <w:pPr>
        <w:pStyle w:val="Textonotapie"/>
        <w:numPr>
          <w:ilvl w:val="0"/>
          <w:numId w:val="9"/>
        </w:numPr>
        <w:tabs>
          <w:tab w:val="clear" w:pos="720"/>
          <w:tab w:val="num" w:pos="284"/>
        </w:tabs>
        <w:ind w:left="0" w:firstLine="0"/>
        <w:rPr>
          <w:rFonts w:ascii="Tahoma" w:hAnsi="Tahoma" w:cs="Tahoma"/>
          <w:sz w:val="18"/>
          <w:szCs w:val="18"/>
          <w:lang w:val="es-ES_tradnl"/>
        </w:rPr>
      </w:pPr>
      <w:r w:rsidRPr="002B1AB9">
        <w:rPr>
          <w:rFonts w:ascii="Tahoma" w:hAnsi="Tahoma" w:cs="Tahoma"/>
          <w:sz w:val="18"/>
          <w:szCs w:val="18"/>
          <w:lang w:val="es-ES_tradnl"/>
        </w:rPr>
        <w:t>Circunstancias de tiempo, lugar y modo.</w:t>
      </w:r>
    </w:p>
    <w:p w:rsidR="009A3D7B" w:rsidRPr="002B1AB9" w:rsidRDefault="009A3D7B" w:rsidP="002D5A85">
      <w:pPr>
        <w:pStyle w:val="Textonotapie"/>
        <w:numPr>
          <w:ilvl w:val="0"/>
          <w:numId w:val="9"/>
        </w:numPr>
        <w:tabs>
          <w:tab w:val="clear" w:pos="720"/>
          <w:tab w:val="num" w:pos="284"/>
        </w:tabs>
        <w:ind w:left="0" w:firstLine="0"/>
        <w:rPr>
          <w:rFonts w:ascii="Tahoma" w:hAnsi="Tahoma" w:cs="Tahoma"/>
          <w:sz w:val="18"/>
          <w:szCs w:val="18"/>
          <w:lang w:val="es-ES_tradnl"/>
        </w:rPr>
      </w:pPr>
      <w:r w:rsidRPr="002B1AB9">
        <w:rPr>
          <w:rFonts w:ascii="Tahoma" w:hAnsi="Tahoma" w:cs="Tahoma"/>
          <w:sz w:val="18"/>
          <w:szCs w:val="18"/>
          <w:lang w:val="es-ES_tradnl"/>
        </w:rPr>
        <w:t>Condiciones del infractor.</w:t>
      </w:r>
    </w:p>
    <w:p w:rsidR="009A3D7B" w:rsidRPr="002B1AB9" w:rsidRDefault="009A3D7B" w:rsidP="002D5A85">
      <w:pPr>
        <w:pStyle w:val="Textonotapie"/>
        <w:numPr>
          <w:ilvl w:val="0"/>
          <w:numId w:val="9"/>
        </w:numPr>
        <w:tabs>
          <w:tab w:val="clear" w:pos="720"/>
          <w:tab w:val="num" w:pos="284"/>
        </w:tabs>
        <w:ind w:left="0" w:firstLine="0"/>
        <w:rPr>
          <w:rFonts w:ascii="Tahoma" w:hAnsi="Tahoma" w:cs="Tahoma"/>
          <w:sz w:val="18"/>
          <w:szCs w:val="18"/>
          <w:lang w:val="es-ES_tradnl"/>
        </w:rPr>
      </w:pPr>
      <w:r w:rsidRPr="002B1AB9">
        <w:rPr>
          <w:rFonts w:ascii="Tahoma" w:hAnsi="Tahoma" w:cs="Tahoma"/>
          <w:sz w:val="18"/>
          <w:szCs w:val="18"/>
          <w:lang w:val="es-ES_tradnl"/>
        </w:rPr>
        <w:t>Conducta procesal del infractor.</w:t>
      </w:r>
    </w:p>
    <w:p w:rsidR="009A3D7B" w:rsidRPr="002B1AB9" w:rsidRDefault="009A3D7B" w:rsidP="002D5A85">
      <w:pPr>
        <w:pStyle w:val="Textonotapie"/>
        <w:ind w:left="180"/>
        <w:rPr>
          <w:sz w:val="18"/>
          <w:szCs w:val="18"/>
          <w:lang w:val="es-ES_tradnl"/>
        </w:rPr>
      </w:pPr>
    </w:p>
  </w:footnote>
  <w:footnote w:id="6">
    <w:p w:rsidR="009A3D7B" w:rsidRPr="008B2DEB" w:rsidRDefault="009A3D7B" w:rsidP="002D5A8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bCs/>
          <w:iCs/>
          <w:sz w:val="18"/>
          <w:szCs w:val="18"/>
          <w:lang w:val="es-ES_tradnl"/>
        </w:rPr>
      </w:pPr>
      <w:r w:rsidRPr="00E252FF">
        <w:rPr>
          <w:rStyle w:val="Refdenotaalpie"/>
          <w:rFonts w:ascii="Tahoma" w:hAnsi="Tahoma" w:cs="Tahoma"/>
          <w:i/>
          <w:iCs/>
          <w:sz w:val="16"/>
          <w:szCs w:val="16"/>
        </w:rPr>
        <w:footnoteRef/>
      </w:r>
      <w:r w:rsidRPr="00E252FF">
        <w:rPr>
          <w:rFonts w:ascii="Tahoma" w:hAnsi="Tahoma" w:cs="Tahoma"/>
          <w:i/>
          <w:iCs/>
          <w:sz w:val="16"/>
          <w:szCs w:val="16"/>
        </w:rPr>
        <w:t xml:space="preserve"> </w:t>
      </w:r>
      <w:r w:rsidRPr="008B2DEB">
        <w:rPr>
          <w:rFonts w:ascii="Tahoma" w:hAnsi="Tahoma" w:cs="Tahoma"/>
          <w:b/>
          <w:bCs/>
          <w:iCs/>
          <w:sz w:val="18"/>
          <w:szCs w:val="18"/>
          <w:lang w:val="es-ES_tradnl"/>
        </w:rPr>
        <w:t>Artículo 51.- Infracciones y Sanciones Administrativas</w:t>
      </w:r>
    </w:p>
    <w:p w:rsidR="009A3D7B" w:rsidRPr="008B2DEB" w:rsidRDefault="009A3D7B" w:rsidP="002D5A8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bCs/>
          <w:iCs/>
          <w:sz w:val="18"/>
          <w:szCs w:val="18"/>
          <w:lang w:val="es-ES_tradnl"/>
        </w:rPr>
      </w:pPr>
      <w:r w:rsidRPr="008B2DEB">
        <w:rPr>
          <w:rFonts w:ascii="Tahoma" w:hAnsi="Tahoma" w:cs="Tahoma"/>
          <w:b/>
          <w:bCs/>
          <w:iCs/>
          <w:sz w:val="18"/>
          <w:szCs w:val="18"/>
          <w:lang w:val="es-ES_tradnl"/>
        </w:rPr>
        <w:t>51.1. Infracciones.</w:t>
      </w:r>
    </w:p>
    <w:p w:rsidR="009A3D7B" w:rsidRPr="008B2DEB" w:rsidRDefault="009A3D7B" w:rsidP="002D5A8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bCs/>
          <w:iCs/>
          <w:sz w:val="18"/>
          <w:szCs w:val="18"/>
          <w:lang w:val="es-ES_tradnl"/>
        </w:rPr>
      </w:pPr>
      <w:r w:rsidRPr="008B2DEB">
        <w:rPr>
          <w:rFonts w:ascii="Tahoma" w:hAnsi="Tahoma" w:cs="Tahoma"/>
          <w:b/>
          <w:bCs/>
          <w:iCs/>
          <w:sz w:val="18"/>
          <w:szCs w:val="18"/>
          <w:lang w:val="es-ES_tradnl"/>
        </w:rPr>
        <w:t>Se impondrá sanción administrativa a los proveedores, participantes, postores y/o contratista que:</w:t>
      </w:r>
    </w:p>
    <w:p w:rsidR="009A3D7B" w:rsidRPr="008B2DEB" w:rsidRDefault="009A3D7B" w:rsidP="002D5A8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iCs/>
          <w:sz w:val="18"/>
          <w:szCs w:val="18"/>
          <w:lang w:val="es-ES_tradnl"/>
        </w:rPr>
      </w:pPr>
      <w:r w:rsidRPr="008B2DEB">
        <w:rPr>
          <w:rFonts w:ascii="Tahoma" w:hAnsi="Tahoma" w:cs="Tahoma"/>
          <w:iCs/>
          <w:sz w:val="18"/>
          <w:szCs w:val="18"/>
          <w:lang w:val="es-ES_tradnl"/>
        </w:rPr>
        <w:t>[…]</w:t>
      </w:r>
    </w:p>
    <w:p w:rsidR="009A3D7B" w:rsidRPr="008B2DEB" w:rsidRDefault="009A3D7B" w:rsidP="002D5A8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iCs/>
          <w:sz w:val="18"/>
          <w:szCs w:val="18"/>
          <w:lang w:val="es-ES_tradnl"/>
        </w:rPr>
      </w:pPr>
      <w:r>
        <w:rPr>
          <w:rFonts w:ascii="Tahoma" w:hAnsi="Tahoma" w:cs="Tahoma"/>
          <w:iCs/>
          <w:sz w:val="18"/>
          <w:szCs w:val="18"/>
          <w:lang w:val="es-ES_tradnl"/>
        </w:rPr>
        <w:t>b</w:t>
      </w:r>
      <w:r w:rsidRPr="008B2DEB">
        <w:rPr>
          <w:rFonts w:ascii="Tahoma" w:hAnsi="Tahoma" w:cs="Tahoma"/>
          <w:iCs/>
          <w:sz w:val="18"/>
          <w:szCs w:val="18"/>
          <w:lang w:val="es-ES_tradnl"/>
        </w:rPr>
        <w:t xml:space="preserve">) </w:t>
      </w:r>
      <w:r>
        <w:rPr>
          <w:rFonts w:ascii="Tahoma" w:hAnsi="Tahoma" w:cs="Tahoma"/>
          <w:iCs/>
          <w:sz w:val="18"/>
          <w:szCs w:val="18"/>
          <w:lang w:val="es-ES_tradnl"/>
        </w:rPr>
        <w:t>Den lugar a la resolución del contrato, orden de compra o de servicios por causal atribuible a su parte.</w:t>
      </w:r>
    </w:p>
  </w:footnote>
  <w:footnote w:id="7">
    <w:p w:rsidR="009A3D7B" w:rsidRPr="008B2DEB" w:rsidRDefault="009A3D7B" w:rsidP="002D5A8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bCs/>
          <w:iCs/>
          <w:sz w:val="18"/>
          <w:szCs w:val="18"/>
          <w:lang w:val="es-ES_tradnl"/>
        </w:rPr>
      </w:pPr>
      <w:r w:rsidRPr="008B2DEB">
        <w:rPr>
          <w:rStyle w:val="Refdenotaalpie"/>
          <w:rFonts w:ascii="Tahoma" w:hAnsi="Tahoma" w:cs="Tahoma"/>
          <w:iCs/>
          <w:sz w:val="18"/>
          <w:szCs w:val="18"/>
        </w:rPr>
        <w:footnoteRef/>
      </w:r>
      <w:r w:rsidRPr="008B2DEB">
        <w:rPr>
          <w:rFonts w:ascii="Tahoma" w:hAnsi="Tahoma" w:cs="Tahoma"/>
          <w:iCs/>
          <w:sz w:val="18"/>
          <w:szCs w:val="18"/>
        </w:rPr>
        <w:t xml:space="preserve"> </w:t>
      </w:r>
      <w:r w:rsidRPr="008B2DEB">
        <w:rPr>
          <w:rFonts w:ascii="Tahoma" w:hAnsi="Tahoma" w:cs="Tahoma"/>
          <w:b/>
          <w:bCs/>
          <w:iCs/>
          <w:sz w:val="18"/>
          <w:szCs w:val="18"/>
          <w:lang w:val="es-ES_tradnl"/>
        </w:rPr>
        <w:t xml:space="preserve">Artículo 237.- Causales de aplicación de sanción a los proveedores, participantes, postores y contratistas. </w:t>
      </w:r>
    </w:p>
    <w:p w:rsidR="009A3D7B" w:rsidRPr="008B2DEB" w:rsidRDefault="009A3D7B" w:rsidP="002D5A8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iCs/>
          <w:sz w:val="18"/>
          <w:szCs w:val="18"/>
          <w:lang w:val="es-ES_tradnl"/>
        </w:rPr>
      </w:pPr>
      <w:r w:rsidRPr="008B2DEB">
        <w:rPr>
          <w:rFonts w:ascii="Tahoma" w:hAnsi="Tahoma" w:cs="Tahoma"/>
          <w:iCs/>
          <w:sz w:val="18"/>
          <w:szCs w:val="18"/>
          <w:lang w:val="es-ES_tradnl"/>
        </w:rPr>
        <w:t>El Tribunal impondrá la sanción administrativa de inhabilitación temporal o definitiva a los proveedores, participantes, postores y/o contratistas que:</w:t>
      </w:r>
    </w:p>
    <w:p w:rsidR="009A3D7B" w:rsidRPr="008B2DEB" w:rsidRDefault="009A3D7B" w:rsidP="002D5A8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iCs/>
          <w:sz w:val="18"/>
          <w:szCs w:val="18"/>
          <w:lang w:val="es-ES_tradnl"/>
        </w:rPr>
      </w:pPr>
      <w:r w:rsidRPr="008B2DEB">
        <w:rPr>
          <w:rFonts w:ascii="Tahoma" w:hAnsi="Tahoma" w:cs="Tahoma"/>
          <w:iCs/>
          <w:sz w:val="18"/>
          <w:szCs w:val="18"/>
          <w:lang w:val="es-ES_tradnl"/>
        </w:rPr>
        <w:t>[…]</w:t>
      </w:r>
    </w:p>
    <w:p w:rsidR="009A3D7B" w:rsidRPr="008B2DEB" w:rsidRDefault="009A3D7B" w:rsidP="002D5A8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iCs/>
          <w:sz w:val="18"/>
          <w:szCs w:val="18"/>
          <w:lang w:val="es-ES_tradnl"/>
        </w:rPr>
      </w:pPr>
      <w:r>
        <w:rPr>
          <w:rFonts w:ascii="Tahoma" w:hAnsi="Tahoma" w:cs="Tahoma"/>
          <w:iCs/>
          <w:sz w:val="18"/>
          <w:szCs w:val="18"/>
          <w:lang w:val="es-ES_tradnl"/>
        </w:rPr>
        <w:t>b</w:t>
      </w:r>
      <w:r w:rsidRPr="008B2DEB">
        <w:rPr>
          <w:rFonts w:ascii="Tahoma" w:hAnsi="Tahoma" w:cs="Tahoma"/>
          <w:iCs/>
          <w:sz w:val="18"/>
          <w:szCs w:val="18"/>
          <w:lang w:val="es-ES_tradnl"/>
        </w:rPr>
        <w:t>)</w:t>
      </w:r>
      <w:r w:rsidRPr="00842391">
        <w:rPr>
          <w:rFonts w:ascii="Tahoma" w:hAnsi="Tahoma" w:cs="Tahoma"/>
          <w:iCs/>
          <w:sz w:val="18"/>
          <w:szCs w:val="18"/>
          <w:lang w:val="es-ES_tradnl"/>
        </w:rPr>
        <w:t xml:space="preserve"> </w:t>
      </w:r>
      <w:r>
        <w:rPr>
          <w:rFonts w:ascii="Tahoma" w:hAnsi="Tahoma" w:cs="Tahoma"/>
          <w:iCs/>
          <w:sz w:val="18"/>
          <w:szCs w:val="18"/>
          <w:lang w:val="es-ES_tradnl"/>
        </w:rPr>
        <w:t>Den lugar a la resolución del contrato, orden de compra o de servicios por causal atribuible a su parte.</w:t>
      </w:r>
    </w:p>
  </w:footnote>
  <w:footnote w:id="8">
    <w:p w:rsidR="009A3D7B" w:rsidRDefault="009A3D7B" w:rsidP="002D5A85">
      <w:pPr>
        <w:pStyle w:val="Textonotapie"/>
      </w:pPr>
      <w:r w:rsidRPr="00AE3F35">
        <w:rPr>
          <w:rStyle w:val="Refdenotaalpie"/>
          <w:sz w:val="16"/>
          <w:szCs w:val="16"/>
        </w:rPr>
        <w:footnoteRef/>
      </w:r>
      <w:r w:rsidRPr="00AE3F35">
        <w:rPr>
          <w:sz w:val="16"/>
          <w:szCs w:val="16"/>
        </w:rPr>
        <w:t xml:space="preserve"> Artículo modificado por el D. L Nº 1029 vigente desde el 24 de junio de 2008.</w:t>
      </w:r>
      <w:r w:rsidRPr="00BA63A2">
        <w:rPr>
          <w:sz w:val="16"/>
          <w:szCs w:val="16"/>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579" w:rsidRPr="00051E00" w:rsidRDefault="00014579" w:rsidP="00014579">
    <w:pPr>
      <w:pStyle w:val="NormalWeb"/>
      <w:jc w:val="right"/>
      <w:rPr>
        <w:rFonts w:ascii="Arial Narrow" w:hAnsi="Arial Narrow"/>
        <w:b/>
        <w:bCs/>
        <w:sz w:val="20"/>
        <w:szCs w:val="20"/>
      </w:rPr>
    </w:pPr>
    <w:r>
      <w:rPr>
        <w:rFonts w:ascii="Arial Narrow" w:hAnsi="Arial Narrow"/>
        <w:b/>
        <w:bCs/>
        <w:noProof/>
        <w:sz w:val="20"/>
        <w:szCs w:val="20"/>
      </w:rPr>
      <w:drawing>
        <wp:anchor distT="0" distB="0" distL="114300" distR="114300" simplePos="0" relativeHeight="251659264" behindDoc="0" locked="0" layoutInCell="1" allowOverlap="1">
          <wp:simplePos x="0" y="0"/>
          <wp:positionH relativeFrom="column">
            <wp:posOffset>-594360</wp:posOffset>
          </wp:positionH>
          <wp:positionV relativeFrom="paragraph">
            <wp:posOffset>-154940</wp:posOffset>
          </wp:positionV>
          <wp:extent cx="6524625" cy="600075"/>
          <wp:effectExtent l="19050" t="0" r="9525" b="0"/>
          <wp:wrapSquare wrapText="bothSides"/>
          <wp:docPr id="2" name="Imagen 2"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nbrete"/>
                  <pic:cNvPicPr>
                    <a:picLocks noChangeAspect="1" noChangeArrowheads="1"/>
                  </pic:cNvPicPr>
                </pic:nvPicPr>
                <pic:blipFill>
                  <a:blip r:embed="rId1" cstate="print"/>
                  <a:srcRect/>
                  <a:stretch>
                    <a:fillRect/>
                  </a:stretch>
                </pic:blipFill>
                <pic:spPr bwMode="auto">
                  <a:xfrm>
                    <a:off x="0" y="0"/>
                    <a:ext cx="6524625" cy="600075"/>
                  </a:xfrm>
                  <a:prstGeom prst="rect">
                    <a:avLst/>
                  </a:prstGeom>
                  <a:noFill/>
                </pic:spPr>
              </pic:pic>
            </a:graphicData>
          </a:graphic>
        </wp:anchor>
      </w:drawing>
    </w:r>
  </w:p>
  <w:p w:rsidR="00014579" w:rsidRDefault="00014579" w:rsidP="00014579">
    <w:pPr>
      <w:pStyle w:val="NormalWeb"/>
      <w:jc w:val="center"/>
      <w:rPr>
        <w:rFonts w:ascii="Monotype Corsiva" w:hAnsi="Monotype Corsiva"/>
        <w:b/>
        <w:sz w:val="44"/>
        <w:szCs w:val="44"/>
      </w:rPr>
    </w:pPr>
  </w:p>
  <w:p w:rsidR="00014579" w:rsidRPr="00051E00" w:rsidRDefault="00014579" w:rsidP="00014579">
    <w:pPr>
      <w:pStyle w:val="NormalWeb"/>
      <w:jc w:val="center"/>
      <w:rPr>
        <w:rFonts w:ascii="Arial Narrow" w:hAnsi="Arial Narrow"/>
        <w:b/>
        <w:bCs/>
        <w:sz w:val="20"/>
        <w:szCs w:val="20"/>
      </w:rPr>
    </w:pPr>
    <w:r w:rsidRPr="00051E00">
      <w:rPr>
        <w:rFonts w:ascii="Monotype Corsiva" w:hAnsi="Monotype Corsiva"/>
        <w:b/>
        <w:sz w:val="44"/>
        <w:szCs w:val="44"/>
      </w:rPr>
      <w:t xml:space="preserve">Resolución Nº   </w:t>
    </w:r>
    <w:r>
      <w:rPr>
        <w:rFonts w:ascii="Tahoma" w:hAnsi="Tahoma" w:cs="Tahoma"/>
        <w:b/>
        <w:sz w:val="44"/>
        <w:szCs w:val="44"/>
      </w:rPr>
      <w:t>1077</w:t>
    </w:r>
    <w:r w:rsidRPr="00051E00">
      <w:rPr>
        <w:rFonts w:ascii="Tahoma" w:hAnsi="Tahoma" w:cs="Tahoma"/>
        <w:b/>
        <w:sz w:val="44"/>
        <w:szCs w:val="44"/>
      </w:rPr>
      <w:t>-2011-TC-S4</w:t>
    </w:r>
  </w:p>
  <w:p w:rsidR="00014579" w:rsidRDefault="0001457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579E"/>
    <w:multiLevelType w:val="hybridMultilevel"/>
    <w:tmpl w:val="CD8E4584"/>
    <w:lvl w:ilvl="0" w:tplc="6CB84ED4">
      <w:start w:val="1"/>
      <w:numFmt w:val="decimal"/>
      <w:lvlText w:val="%1."/>
      <w:lvlJc w:val="left"/>
      <w:pPr>
        <w:ind w:left="720" w:hanging="360"/>
      </w:pPr>
      <w:rPr>
        <w:rFonts w:ascii="Tahoma" w:hAnsi="Tahoma" w:cs="Tahoma" w:hint="default"/>
        <w:b/>
        <w:i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2E5035E8">
      <w:start w:val="1"/>
      <w:numFmt w:val="decimal"/>
      <w:lvlText w:val="%4."/>
      <w:lvlJc w:val="left"/>
      <w:pPr>
        <w:ind w:left="2880" w:hanging="360"/>
      </w:pPr>
      <w:rPr>
        <w:b/>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722C80"/>
    <w:multiLevelType w:val="hybridMultilevel"/>
    <w:tmpl w:val="802C9C88"/>
    <w:lvl w:ilvl="0" w:tplc="BBBE1FB4">
      <w:start w:val="1"/>
      <w:numFmt w:val="upperLetter"/>
      <w:lvlText w:val="%1."/>
      <w:lvlJc w:val="left"/>
      <w:pPr>
        <w:ind w:left="540" w:hanging="540"/>
      </w:pPr>
      <w:rPr>
        <w:b/>
      </w:rPr>
    </w:lvl>
    <w:lvl w:ilvl="1" w:tplc="0FF47CE8">
      <w:start w:val="1"/>
      <w:numFmt w:val="lowerLetter"/>
      <w:lvlText w:val="%2."/>
      <w:lvlJc w:val="left"/>
      <w:pPr>
        <w:ind w:left="1440" w:hanging="360"/>
      </w:pPr>
      <w:rPr>
        <w:b/>
      </w:rPr>
    </w:lvl>
    <w:lvl w:ilvl="2" w:tplc="0C0A001B">
      <w:start w:val="1"/>
      <w:numFmt w:val="lowerRoman"/>
      <w:lvlText w:val="%3."/>
      <w:lvlJc w:val="right"/>
      <w:pPr>
        <w:ind w:left="2160" w:hanging="180"/>
      </w:pPr>
    </w:lvl>
    <w:lvl w:ilvl="3" w:tplc="53C04E24">
      <w:start w:val="1"/>
      <w:numFmt w:val="decimal"/>
      <w:lvlText w:val="%4."/>
      <w:lvlJc w:val="left"/>
      <w:pPr>
        <w:ind w:left="2880" w:hanging="360"/>
      </w:pPr>
      <w:rPr>
        <w:b/>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32466705"/>
    <w:multiLevelType w:val="multilevel"/>
    <w:tmpl w:val="31E6D088"/>
    <w:lvl w:ilvl="0">
      <w:start w:val="1"/>
      <w:numFmt w:val="decimal"/>
      <w:lvlText w:val="%1."/>
      <w:lvlJc w:val="left"/>
      <w:pPr>
        <w:tabs>
          <w:tab w:val="num" w:pos="720"/>
        </w:tabs>
        <w:ind w:left="720" w:hanging="360"/>
      </w:pPr>
      <w:rPr>
        <w:b/>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ABA2C4B"/>
    <w:multiLevelType w:val="hybridMultilevel"/>
    <w:tmpl w:val="3FD8AC9A"/>
    <w:lvl w:ilvl="0" w:tplc="9740E6EA">
      <w:start w:val="51"/>
      <w:numFmt w:val="decimal"/>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5">
    <w:nsid w:val="71663834"/>
    <w:multiLevelType w:val="hybridMultilevel"/>
    <w:tmpl w:val="0520E756"/>
    <w:lvl w:ilvl="0" w:tplc="87541070">
      <w:start w:val="1"/>
      <w:numFmt w:val="decimal"/>
      <w:lvlText w:val="%1."/>
      <w:lvlJc w:val="left"/>
      <w:pPr>
        <w:tabs>
          <w:tab w:val="num" w:pos="454"/>
        </w:tabs>
        <w:ind w:left="454" w:hanging="454"/>
      </w:pPr>
      <w:rPr>
        <w:rFonts w:ascii="Tahoma" w:hAnsi="Tahoma" w:cs="Tahoma" w:hint="default"/>
        <w:b/>
        <w:i w:val="0"/>
        <w:outline w:val="0"/>
        <w:shadow w:val="0"/>
        <w:emboss w:val="0"/>
        <w:imprint w:val="0"/>
        <w:sz w:val="24"/>
        <w:szCs w:val="24"/>
        <w:u w:color="FFFFFF"/>
      </w:rPr>
    </w:lvl>
    <w:lvl w:ilvl="1" w:tplc="0C0A0019">
      <w:start w:val="1"/>
      <w:numFmt w:val="decimal"/>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71B32CE4"/>
    <w:multiLevelType w:val="hybridMultilevel"/>
    <w:tmpl w:val="89DC51D0"/>
    <w:lvl w:ilvl="0" w:tplc="13A4D20C">
      <w:start w:val="1"/>
      <w:numFmt w:val="decimal"/>
      <w:lvlText w:val="%1."/>
      <w:lvlJc w:val="left"/>
      <w:pPr>
        <w:ind w:left="720" w:hanging="360"/>
      </w:pPr>
      <w:rPr>
        <w:rFonts w:ascii="Tahoma" w:hAnsi="Tahoma" w:cs="Tahoma" w:hint="default"/>
        <w:b/>
        <w:sz w:val="20"/>
        <w:szCs w:val="20"/>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724C0E5F"/>
    <w:multiLevelType w:val="hybridMultilevel"/>
    <w:tmpl w:val="2A569B2A"/>
    <w:lvl w:ilvl="0" w:tplc="323694F0">
      <w:start w:val="1"/>
      <w:numFmt w:val="lowerLetter"/>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8">
    <w:nsid w:val="74443637"/>
    <w:multiLevelType w:val="hybridMultilevel"/>
    <w:tmpl w:val="034CE80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772348A8"/>
    <w:multiLevelType w:val="hybridMultilevel"/>
    <w:tmpl w:val="777A0A78"/>
    <w:lvl w:ilvl="0" w:tplc="D8DE4114">
      <w:start w:val="1"/>
      <w:numFmt w:val="decimal"/>
      <w:lvlText w:val="%1."/>
      <w:lvlJc w:val="left"/>
      <w:pPr>
        <w:tabs>
          <w:tab w:val="num" w:pos="4320"/>
        </w:tabs>
        <w:ind w:left="4320" w:hanging="360"/>
      </w:pPr>
      <w:rPr>
        <w:rFonts w:ascii="Tahoma" w:hAnsi="Tahoma" w:cs="Times New Roman" w:hint="default"/>
        <w:b/>
        <w:i w:val="0"/>
        <w:strike w:val="0"/>
        <w:dstrike w:val="0"/>
        <w:color w:val="auto"/>
        <w:sz w:val="20"/>
        <w:szCs w:val="20"/>
        <w:u w:val="none"/>
        <w:effect w:val="none"/>
      </w:rPr>
    </w:lvl>
    <w:lvl w:ilvl="1" w:tplc="280A0019">
      <w:start w:val="1"/>
      <w:numFmt w:val="decimal"/>
      <w:lvlText w:val="%2."/>
      <w:lvlJc w:val="left"/>
      <w:pPr>
        <w:tabs>
          <w:tab w:val="num" w:pos="1440"/>
        </w:tabs>
        <w:ind w:left="1440" w:hanging="360"/>
      </w:pPr>
    </w:lvl>
    <w:lvl w:ilvl="2" w:tplc="280A001B">
      <w:start w:val="1"/>
      <w:numFmt w:val="decimal"/>
      <w:lvlText w:val="%3."/>
      <w:lvlJc w:val="left"/>
      <w:pPr>
        <w:tabs>
          <w:tab w:val="num" w:pos="2160"/>
        </w:tabs>
        <w:ind w:left="2160" w:hanging="360"/>
      </w:pPr>
    </w:lvl>
    <w:lvl w:ilvl="3" w:tplc="280A000F">
      <w:start w:val="1"/>
      <w:numFmt w:val="decimal"/>
      <w:lvlText w:val="%4."/>
      <w:lvlJc w:val="left"/>
      <w:pPr>
        <w:tabs>
          <w:tab w:val="num" w:pos="2880"/>
        </w:tabs>
        <w:ind w:left="2880" w:hanging="360"/>
      </w:pPr>
    </w:lvl>
    <w:lvl w:ilvl="4" w:tplc="280A0019">
      <w:start w:val="1"/>
      <w:numFmt w:val="decimal"/>
      <w:lvlText w:val="%5."/>
      <w:lvlJc w:val="left"/>
      <w:pPr>
        <w:tabs>
          <w:tab w:val="num" w:pos="3600"/>
        </w:tabs>
        <w:ind w:left="3600" w:hanging="360"/>
      </w:pPr>
    </w:lvl>
    <w:lvl w:ilvl="5" w:tplc="280A001B">
      <w:start w:val="1"/>
      <w:numFmt w:val="decimal"/>
      <w:lvlText w:val="%6."/>
      <w:lvlJc w:val="left"/>
      <w:pPr>
        <w:tabs>
          <w:tab w:val="num" w:pos="4320"/>
        </w:tabs>
        <w:ind w:left="4320" w:hanging="360"/>
      </w:pPr>
    </w:lvl>
    <w:lvl w:ilvl="6" w:tplc="280A000F">
      <w:start w:val="1"/>
      <w:numFmt w:val="decimal"/>
      <w:lvlText w:val="%7."/>
      <w:lvlJc w:val="left"/>
      <w:pPr>
        <w:tabs>
          <w:tab w:val="num" w:pos="5040"/>
        </w:tabs>
        <w:ind w:left="5040" w:hanging="360"/>
      </w:pPr>
    </w:lvl>
    <w:lvl w:ilvl="7" w:tplc="280A0019">
      <w:start w:val="1"/>
      <w:numFmt w:val="decimal"/>
      <w:lvlText w:val="%8."/>
      <w:lvlJc w:val="left"/>
      <w:pPr>
        <w:tabs>
          <w:tab w:val="num" w:pos="5760"/>
        </w:tabs>
        <w:ind w:left="5760" w:hanging="360"/>
      </w:pPr>
    </w:lvl>
    <w:lvl w:ilvl="8" w:tplc="280A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0B581C"/>
    <w:rsid w:val="00014579"/>
    <w:rsid w:val="000B581C"/>
    <w:rsid w:val="00262083"/>
    <w:rsid w:val="002D5A85"/>
    <w:rsid w:val="009A3D7B"/>
    <w:rsid w:val="00AE2C8B"/>
    <w:rsid w:val="00D3673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581C"/>
    <w:rPr>
      <w:rFonts w:ascii="Calibri" w:eastAsia="Calibri" w:hAnsi="Calibri" w:cs="Times New Roman"/>
    </w:rPr>
  </w:style>
  <w:style w:type="paragraph" w:styleId="Ttulo2">
    <w:name w:val="heading 2"/>
    <w:basedOn w:val="Normal"/>
    <w:next w:val="Normal"/>
    <w:link w:val="Ttulo2Car"/>
    <w:qFormat/>
    <w:rsid w:val="000B581C"/>
    <w:pPr>
      <w:keepNext/>
      <w:spacing w:after="0" w:line="240" w:lineRule="auto"/>
      <w:jc w:val="center"/>
      <w:outlineLvl w:val="1"/>
    </w:pPr>
    <w:rPr>
      <w:rFonts w:ascii="Tahoma" w:eastAsia="Times New Roman" w:hAnsi="Tahoma"/>
      <w:b/>
      <w:sz w:val="24"/>
      <w:szCs w:val="20"/>
      <w:lang w:val="es-PE"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0B581C"/>
    <w:rPr>
      <w:rFonts w:ascii="Tahoma" w:eastAsia="Times New Roman" w:hAnsi="Tahoma" w:cs="Times New Roman"/>
      <w:b/>
      <w:sz w:val="24"/>
      <w:szCs w:val="20"/>
      <w:lang w:val="es-PE" w:eastAsia="es-PE"/>
    </w:rPr>
  </w:style>
  <w:style w:type="paragraph" w:styleId="NormalWeb">
    <w:name w:val="Normal (Web)"/>
    <w:basedOn w:val="Normal"/>
    <w:uiPriority w:val="99"/>
    <w:unhideWhenUsed/>
    <w:rsid w:val="000B581C"/>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TextonotapieCar">
    <w:name w:val="Texto nota pie Car"/>
    <w:aliases w:val="Car Car1, Car Car, Car4 Car,Texto nota pie1 Car,Car Car Car,Body Text Car,Car4 Car, Car2 Car Car Car Car Car Car, Car2 Car Car, Car2 Car1, Car1 Car Car,Car1 Car Car,Car4 Car Car Car"/>
    <w:basedOn w:val="Fuentedeprrafopredeter"/>
    <w:link w:val="Textonotapie"/>
    <w:locked/>
    <w:rsid w:val="000B581C"/>
    <w:rPr>
      <w:rFonts w:ascii="Times New Roman" w:eastAsia="Times New Roman" w:hAnsi="Times New Roman"/>
    </w:rPr>
  </w:style>
  <w:style w:type="paragraph" w:styleId="Textonotapie">
    <w:name w:val="footnote text"/>
    <w:aliases w:val="Car, Car, Car4,Texto nota pie1,Car Car,Body Text,Car4, Car2 Car Car Car Car Car, Car2 Car, Car2, Car1 Car,Car1 Car,Car4 Car Car"/>
    <w:basedOn w:val="Normal"/>
    <w:link w:val="TextonotapieCar"/>
    <w:unhideWhenUsed/>
    <w:rsid w:val="000B581C"/>
    <w:pPr>
      <w:spacing w:after="0" w:line="240" w:lineRule="auto"/>
    </w:pPr>
    <w:rPr>
      <w:rFonts w:ascii="Times New Roman" w:eastAsia="Times New Roman" w:hAnsi="Times New Roman" w:cstheme="minorBidi"/>
    </w:rPr>
  </w:style>
  <w:style w:type="character" w:customStyle="1" w:styleId="TextonotapieCar1">
    <w:name w:val="Texto nota pie Car1"/>
    <w:basedOn w:val="Fuentedeprrafopredeter"/>
    <w:link w:val="Textonotapie"/>
    <w:uiPriority w:val="99"/>
    <w:semiHidden/>
    <w:rsid w:val="000B581C"/>
    <w:rPr>
      <w:rFonts w:ascii="Calibri" w:eastAsia="Calibri" w:hAnsi="Calibri" w:cs="Times New Roman"/>
      <w:sz w:val="20"/>
      <w:szCs w:val="20"/>
    </w:rPr>
  </w:style>
  <w:style w:type="paragraph" w:styleId="Textoindependiente3">
    <w:name w:val="Body Text 3"/>
    <w:basedOn w:val="Normal"/>
    <w:link w:val="Textoindependiente3Car"/>
    <w:semiHidden/>
    <w:unhideWhenUsed/>
    <w:rsid w:val="000B581C"/>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0B581C"/>
    <w:rPr>
      <w:rFonts w:ascii="Times New Roman" w:eastAsia="Times New Roman" w:hAnsi="Times New Roman" w:cs="Times New Roman"/>
      <w:sz w:val="16"/>
      <w:szCs w:val="16"/>
      <w:lang w:val="es-PE" w:eastAsia="es-ES"/>
    </w:rPr>
  </w:style>
  <w:style w:type="paragraph" w:styleId="Prrafodelista">
    <w:name w:val="List Paragraph"/>
    <w:basedOn w:val="Normal"/>
    <w:uiPriority w:val="34"/>
    <w:qFormat/>
    <w:rsid w:val="000B581C"/>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customStyle="1" w:styleId="Textoindependiente21">
    <w:name w:val="Texto independiente 21"/>
    <w:basedOn w:val="Normal"/>
    <w:rsid w:val="000B581C"/>
    <w:pPr>
      <w:spacing w:after="0" w:line="240" w:lineRule="auto"/>
      <w:jc w:val="both"/>
    </w:pPr>
    <w:rPr>
      <w:rFonts w:ascii="Tahoma" w:eastAsia="Times New Roman" w:hAnsi="Tahoma"/>
      <w:szCs w:val="20"/>
      <w:lang w:eastAsia="es-ES"/>
    </w:rPr>
  </w:style>
  <w:style w:type="character" w:styleId="Refdenotaalpie">
    <w:name w:val="footnote reference"/>
    <w:basedOn w:val="Fuentedeprrafopredeter"/>
    <w:unhideWhenUsed/>
    <w:rsid w:val="000B581C"/>
    <w:rPr>
      <w:vertAlign w:val="superscript"/>
    </w:rPr>
  </w:style>
  <w:style w:type="paragraph" w:styleId="Piedepgina">
    <w:name w:val="footer"/>
    <w:basedOn w:val="Normal"/>
    <w:link w:val="PiedepginaCar"/>
    <w:uiPriority w:val="99"/>
    <w:unhideWhenUsed/>
    <w:rsid w:val="000B581C"/>
    <w:pPr>
      <w:tabs>
        <w:tab w:val="center" w:pos="4252"/>
        <w:tab w:val="right" w:pos="8504"/>
      </w:tabs>
    </w:pPr>
  </w:style>
  <w:style w:type="character" w:customStyle="1" w:styleId="PiedepginaCar">
    <w:name w:val="Pie de página Car"/>
    <w:basedOn w:val="Fuentedeprrafopredeter"/>
    <w:link w:val="Piedepgina"/>
    <w:uiPriority w:val="99"/>
    <w:rsid w:val="000B581C"/>
    <w:rPr>
      <w:rFonts w:ascii="Calibri" w:eastAsia="Calibri" w:hAnsi="Calibri" w:cs="Times New Roman"/>
    </w:rPr>
  </w:style>
  <w:style w:type="paragraph" w:styleId="Textoindependiente">
    <w:name w:val="Body Text"/>
    <w:basedOn w:val="Normal"/>
    <w:link w:val="TextoindependienteCar"/>
    <w:uiPriority w:val="99"/>
    <w:semiHidden/>
    <w:unhideWhenUsed/>
    <w:rsid w:val="002D5A85"/>
    <w:pPr>
      <w:spacing w:after="120"/>
    </w:pPr>
  </w:style>
  <w:style w:type="character" w:customStyle="1" w:styleId="TextoindependienteCar">
    <w:name w:val="Texto independiente Car"/>
    <w:basedOn w:val="Fuentedeprrafopredeter"/>
    <w:link w:val="Textoindependiente"/>
    <w:uiPriority w:val="99"/>
    <w:semiHidden/>
    <w:rsid w:val="002D5A85"/>
    <w:rPr>
      <w:rFonts w:ascii="Calibri" w:eastAsia="Calibri" w:hAnsi="Calibri" w:cs="Times New Roman"/>
    </w:rPr>
  </w:style>
  <w:style w:type="paragraph" w:styleId="HTMLconformatoprevio">
    <w:name w:val="HTML Preformatted"/>
    <w:basedOn w:val="Normal"/>
    <w:link w:val="HTMLconformatoprevioCar"/>
    <w:semiHidden/>
    <w:unhideWhenUsed/>
    <w:rsid w:val="002D5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es-ES"/>
    </w:rPr>
  </w:style>
  <w:style w:type="character" w:customStyle="1" w:styleId="HTMLconformatoprevioCar">
    <w:name w:val="HTML con formato previo Car"/>
    <w:basedOn w:val="Fuentedeprrafopredeter"/>
    <w:link w:val="HTMLconformatoprevio"/>
    <w:semiHidden/>
    <w:rsid w:val="002D5A85"/>
    <w:rPr>
      <w:rFonts w:ascii="Courier New" w:eastAsia="Times New Roman" w:hAnsi="Courier New" w:cs="Courier New"/>
      <w:color w:val="000000"/>
      <w:sz w:val="20"/>
      <w:szCs w:val="20"/>
      <w:lang w:eastAsia="es-ES"/>
    </w:rPr>
  </w:style>
  <w:style w:type="paragraph" w:styleId="Encabezado">
    <w:name w:val="header"/>
    <w:basedOn w:val="Normal"/>
    <w:link w:val="EncabezadoCar"/>
    <w:uiPriority w:val="99"/>
    <w:semiHidden/>
    <w:unhideWhenUsed/>
    <w:rsid w:val="0001457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014579"/>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4447</Words>
  <Characters>24461</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vjaccachoury</dc:creator>
  <cp:keywords/>
  <dc:description/>
  <cp:lastModifiedBy>mhinostroza</cp:lastModifiedBy>
  <cp:revision>2</cp:revision>
  <cp:lastPrinted>2011-06-22T21:50:00Z</cp:lastPrinted>
  <dcterms:created xsi:type="dcterms:W3CDTF">2011-07-22T16:33:00Z</dcterms:created>
  <dcterms:modified xsi:type="dcterms:W3CDTF">2011-07-22T16:33:00Z</dcterms:modified>
</cp:coreProperties>
</file>